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C185F2">
      <w:pPr>
        <w:jc w:val="left"/>
        <w:rPr>
          <w:rFonts w:hint="eastAsia" w:ascii="宋体" w:hAnsi="宋体" w:eastAsia="宋体"/>
          <w:color w:val="auto"/>
          <w:sz w:val="28"/>
          <w:szCs w:val="28"/>
          <w:highlight w:val="none"/>
        </w:rPr>
      </w:pPr>
      <w:r>
        <w:rPr>
          <w:rFonts w:hint="eastAsia" w:ascii="宋体" w:hAnsi="宋体" w:eastAsia="宋体"/>
          <w:color w:val="auto"/>
          <w:sz w:val="28"/>
          <w:szCs w:val="28"/>
          <w:highlight w:val="none"/>
        </w:rPr>
        <w:t>附件2</w:t>
      </w:r>
    </w:p>
    <w:p w14:paraId="48E9702E">
      <w:pPr>
        <w:jc w:val="center"/>
        <w:rPr>
          <w:rFonts w:ascii="黑体" w:hAnsi="黑体" w:eastAsia="黑体"/>
          <w:color w:val="auto"/>
          <w:sz w:val="48"/>
          <w:szCs w:val="48"/>
          <w:highlight w:val="none"/>
        </w:rPr>
      </w:pPr>
      <w:r>
        <w:rPr>
          <w:rFonts w:hint="eastAsia" w:ascii="黑体" w:hAnsi="黑体" w:eastAsia="黑体"/>
          <w:color w:val="auto"/>
          <w:sz w:val="48"/>
          <w:szCs w:val="48"/>
          <w:highlight w:val="none"/>
        </w:rPr>
        <w:t>福州市数据资产管理试点建设方案</w:t>
      </w:r>
    </w:p>
    <w:p w14:paraId="7091D4E4">
      <w:pPr>
        <w:jc w:val="center"/>
        <w:rPr>
          <w:rFonts w:hint="eastAsia" w:ascii="黑体" w:hAnsi="黑体" w:eastAsia="黑体"/>
          <w:color w:val="auto"/>
          <w:sz w:val="48"/>
          <w:szCs w:val="48"/>
          <w:highlight w:val="none"/>
        </w:rPr>
      </w:pPr>
      <w:r>
        <w:rPr>
          <w:rFonts w:hint="eastAsia" w:ascii="黑体" w:hAnsi="黑体" w:eastAsia="黑体"/>
          <w:color w:val="auto"/>
          <w:sz w:val="48"/>
          <w:szCs w:val="48"/>
          <w:highlight w:val="none"/>
        </w:rPr>
        <w:t>编制需求说明</w:t>
      </w:r>
    </w:p>
    <w:p w14:paraId="25A11B67">
      <w:pPr>
        <w:jc w:val="left"/>
        <w:rPr>
          <w:rFonts w:hint="eastAsia" w:ascii="宋体" w:hAnsi="宋体" w:eastAsia="宋体"/>
          <w:b/>
          <w:bCs/>
          <w:color w:val="auto"/>
          <w:highlight w:val="none"/>
        </w:rPr>
      </w:pPr>
      <w:r>
        <w:rPr>
          <w:color w:val="auto"/>
          <w:highlight w:val="none"/>
        </w:rPr>
        <w:br w:type="textWrapping"/>
      </w:r>
      <w:r>
        <w:rPr>
          <w:rFonts w:hint="eastAsia" w:ascii="仿宋" w:hAnsi="仿宋" w:eastAsia="仿宋" w:cs="仿宋"/>
          <w:b/>
          <w:bCs/>
          <w:color w:val="auto"/>
          <w:sz w:val="32"/>
          <w:szCs w:val="32"/>
          <w:highlight w:val="none"/>
          <w:lang w:eastAsia="zh-Hans"/>
        </w:rPr>
        <w:t>一、项目概述</w:t>
      </w:r>
    </w:p>
    <w:p w14:paraId="30A4F98A">
      <w:pPr>
        <w:pStyle w:val="5"/>
        <w:widowControl/>
        <w:spacing w:before="0" w:beforeAutospacing="0" w:after="0" w:afterAutospacing="0" w:line="360" w:lineRule="auto"/>
        <w:ind w:firstLine="640" w:firstLineChars="200"/>
        <w:jc w:val="both"/>
        <w:rPr>
          <w:rFonts w:hint="eastAsia" w:ascii="仿宋" w:hAnsi="仿宋" w:eastAsia="仿宋" w:cs="仿宋"/>
          <w:color w:val="auto"/>
          <w:sz w:val="32"/>
          <w:szCs w:val="32"/>
          <w:highlight w:val="none"/>
          <w:lang w:bidi="ar"/>
        </w:rPr>
      </w:pPr>
      <w:r>
        <w:rPr>
          <w:rFonts w:hint="eastAsia" w:ascii="仿宋" w:hAnsi="仿宋" w:eastAsia="仿宋" w:cs="仿宋"/>
          <w:color w:val="auto"/>
          <w:sz w:val="32"/>
          <w:szCs w:val="32"/>
          <w:highlight w:val="none"/>
          <w:lang w:eastAsia="zh-Hans"/>
        </w:rPr>
        <w:t>数据资产，作为经济社会数字化转型进程中的新兴资产类型，正日益成为推动数字中国建设和加快数字经济发展的重要战略资源。为落实</w:t>
      </w:r>
      <w:r>
        <w:rPr>
          <w:rFonts w:hint="eastAsia" w:ascii="仿宋" w:hAnsi="仿宋" w:eastAsia="仿宋" w:cs="仿宋"/>
          <w:color w:val="auto"/>
          <w:sz w:val="32"/>
          <w:szCs w:val="32"/>
          <w:highlight w:val="none"/>
        </w:rPr>
        <w:t>《</w:t>
      </w:r>
      <w:r>
        <w:rPr>
          <w:rFonts w:ascii="仿宋" w:hAnsi="仿宋" w:eastAsia="仿宋" w:cs="仿宋"/>
          <w:color w:val="auto"/>
          <w:sz w:val="32"/>
          <w:szCs w:val="32"/>
          <w:highlight w:val="none"/>
        </w:rPr>
        <w:t>中共中央、国务院</w:t>
      </w:r>
      <w:r>
        <w:rPr>
          <w:rFonts w:hint="eastAsia" w:ascii="仿宋" w:hAnsi="仿宋" w:eastAsia="仿宋" w:cs="仿宋"/>
          <w:color w:val="auto"/>
          <w:sz w:val="32"/>
          <w:szCs w:val="32"/>
          <w:highlight w:val="none"/>
        </w:rPr>
        <w:t>关于构建数据基础制度更好发挥数据要素作用的意见》《财政部关于加强数据资产管理的指导意见》《财政部关于加强行政事业单位数据资产管理的通知》</w:t>
      </w:r>
      <w:r>
        <w:rPr>
          <w:rFonts w:hint="eastAsia" w:ascii="仿宋" w:hAnsi="仿宋" w:eastAsia="仿宋"/>
          <w:color w:val="auto"/>
          <w:sz w:val="32"/>
          <w:szCs w:val="32"/>
          <w:highlight w:val="none"/>
        </w:rPr>
        <w:t>《福建省财政厅关于加强和规范行政事业单位数据资产管理的通知》</w:t>
      </w:r>
      <w:r>
        <w:rPr>
          <w:rFonts w:hint="eastAsia" w:ascii="仿宋" w:hAnsi="仿宋" w:eastAsia="仿宋" w:cs="仿宋"/>
          <w:color w:val="auto"/>
          <w:sz w:val="32"/>
          <w:szCs w:val="32"/>
          <w:highlight w:val="none"/>
        </w:rPr>
        <w:t>等文件精神，促进</w:t>
      </w:r>
      <w:r>
        <w:rPr>
          <w:rFonts w:hint="eastAsia" w:ascii="仿宋" w:hAnsi="仿宋" w:eastAsia="仿宋" w:cs="仿宋"/>
          <w:color w:val="auto"/>
          <w:sz w:val="32"/>
          <w:szCs w:val="32"/>
          <w:highlight w:val="none"/>
          <w:lang w:eastAsia="zh-Hans"/>
        </w:rPr>
        <w:t>和规范</w:t>
      </w:r>
      <w:r>
        <w:rPr>
          <w:rFonts w:hint="eastAsia" w:ascii="仿宋" w:hAnsi="仿宋" w:eastAsia="仿宋" w:cs="仿宋"/>
          <w:color w:val="auto"/>
          <w:sz w:val="32"/>
          <w:szCs w:val="32"/>
          <w:highlight w:val="none"/>
        </w:rPr>
        <w:t>福州</w:t>
      </w:r>
      <w:r>
        <w:rPr>
          <w:rFonts w:hint="eastAsia" w:ascii="仿宋" w:hAnsi="仿宋" w:eastAsia="仿宋" w:cs="仿宋"/>
          <w:color w:val="auto"/>
          <w:sz w:val="32"/>
          <w:szCs w:val="32"/>
          <w:highlight w:val="none"/>
          <w:lang w:eastAsia="zh-Hans"/>
        </w:rPr>
        <w:t>本市</w:t>
      </w:r>
      <w:r>
        <w:rPr>
          <w:rFonts w:hint="eastAsia" w:ascii="仿宋" w:hAnsi="仿宋" w:eastAsia="仿宋" w:cs="仿宋"/>
          <w:color w:val="auto"/>
          <w:sz w:val="32"/>
          <w:szCs w:val="32"/>
          <w:highlight w:val="none"/>
        </w:rPr>
        <w:t>数据</w:t>
      </w:r>
      <w:r>
        <w:rPr>
          <w:rFonts w:hint="eastAsia" w:ascii="仿宋" w:hAnsi="仿宋" w:eastAsia="仿宋" w:cs="仿宋"/>
          <w:color w:val="auto"/>
          <w:sz w:val="32"/>
          <w:szCs w:val="32"/>
          <w:highlight w:val="none"/>
          <w:lang w:eastAsia="zh-Hans"/>
        </w:rPr>
        <w:t>资产</w:t>
      </w:r>
      <w:r>
        <w:rPr>
          <w:rFonts w:hint="eastAsia" w:ascii="仿宋" w:hAnsi="仿宋" w:eastAsia="仿宋" w:cs="仿宋"/>
          <w:color w:val="auto"/>
          <w:sz w:val="32"/>
          <w:szCs w:val="32"/>
          <w:highlight w:val="none"/>
        </w:rPr>
        <w:t>管理，福州市数据局、福州市财政局于2024年9月11日印发《</w:t>
      </w:r>
      <w:bookmarkStart w:id="0" w:name="_Hlk177668926"/>
      <w:r>
        <w:rPr>
          <w:rFonts w:hint="eastAsia" w:ascii="仿宋" w:hAnsi="仿宋" w:eastAsia="仿宋" w:cs="仿宋"/>
          <w:color w:val="auto"/>
          <w:sz w:val="32"/>
          <w:szCs w:val="32"/>
          <w:highlight w:val="none"/>
        </w:rPr>
        <w:t>福州市数据管理局 福州市财政局关于印发福州市开展数据资产管理试点工作的通知</w:t>
      </w:r>
      <w:bookmarkEnd w:id="0"/>
      <w:r>
        <w:rPr>
          <w:rFonts w:hint="eastAsia" w:ascii="仿宋" w:hAnsi="仿宋" w:eastAsia="仿宋" w:cs="仿宋"/>
          <w:color w:val="auto"/>
          <w:sz w:val="32"/>
          <w:szCs w:val="32"/>
          <w:highlight w:val="none"/>
        </w:rPr>
        <w:t>》（榕数据〔2024〕39号），要求至202</w:t>
      </w:r>
      <w:r>
        <w:rPr>
          <w:rFonts w:hint="eastAsia" w:ascii="仿宋" w:hAnsi="仿宋" w:eastAsia="仿宋" w:cs="仿宋"/>
          <w:color w:val="auto"/>
          <w:sz w:val="32"/>
          <w:szCs w:val="32"/>
          <w:highlight w:val="none"/>
          <w:lang w:val="en-US" w:eastAsia="zh-CN"/>
        </w:rPr>
        <w:t>5</w:t>
      </w:r>
      <w:r>
        <w:rPr>
          <w:rFonts w:hint="eastAsia" w:ascii="仿宋" w:hAnsi="仿宋" w:eastAsia="仿宋" w:cs="仿宋"/>
          <w:color w:val="auto"/>
          <w:sz w:val="32"/>
          <w:szCs w:val="32"/>
          <w:highlight w:val="none"/>
        </w:rPr>
        <w:t>年</w:t>
      </w:r>
      <w:r>
        <w:rPr>
          <w:rFonts w:hint="eastAsia" w:ascii="仿宋" w:hAnsi="仿宋" w:eastAsia="仿宋" w:cs="仿宋"/>
          <w:color w:val="auto"/>
          <w:sz w:val="32"/>
          <w:szCs w:val="32"/>
          <w:highlight w:val="none"/>
          <w:lang w:val="en-US" w:eastAsia="zh-CN"/>
        </w:rPr>
        <w:t>1月</w:t>
      </w:r>
      <w:r>
        <w:rPr>
          <w:rFonts w:hint="eastAsia" w:ascii="仿宋" w:hAnsi="仿宋" w:eastAsia="仿宋" w:cs="仿宋"/>
          <w:color w:val="auto"/>
          <w:sz w:val="32"/>
          <w:szCs w:val="32"/>
          <w:highlight w:val="none"/>
        </w:rPr>
        <w:t>，各试点单位根据主体职责规范梳理数据资产目录，细化本单位数</w:t>
      </w:r>
      <w:r>
        <w:rPr>
          <w:rFonts w:hint="eastAsia" w:ascii="仿宋" w:hAnsi="仿宋" w:eastAsia="仿宋" w:cs="仿宋"/>
          <w:color w:val="auto"/>
          <w:sz w:val="32"/>
          <w:szCs w:val="32"/>
          <w:highlight w:val="none"/>
          <w:lang w:bidi="ar"/>
        </w:rPr>
        <w:t>据资产编码规则，形成数据资产信息卡，完成数据资产盘点工作。选定律所和第三方评估机构出具本单位数据资产合规报告及价值评估报告后，在大数据服务中心进行登记并形成数据资产卡片。各运营主体结合实际情况选取数据开发主体合规开展公共数据开发利用工作。</w:t>
      </w:r>
    </w:p>
    <w:p w14:paraId="4405E2AC">
      <w:pPr>
        <w:ind w:firstLine="640" w:firstLineChars="200"/>
        <w:jc w:val="left"/>
        <w:rPr>
          <w:rFonts w:hint="eastAsia" w:ascii="仿宋" w:hAnsi="仿宋" w:eastAsia="仿宋" w:cs="仿宋"/>
          <w:color w:val="auto"/>
          <w:sz w:val="32"/>
          <w:szCs w:val="32"/>
          <w:highlight w:val="none"/>
        </w:rPr>
      </w:pPr>
      <w:r>
        <w:rPr>
          <w:rFonts w:hint="eastAsia" w:ascii="仿宋" w:hAnsi="仿宋" w:eastAsia="仿宋" w:cs="仿宋"/>
          <w:color w:val="auto"/>
          <w:kern w:val="0"/>
          <w:sz w:val="32"/>
          <w:szCs w:val="32"/>
          <w:highlight w:val="none"/>
          <w:lang w:bidi="ar"/>
          <w14:ligatures w14:val="none"/>
        </w:rPr>
        <w:t>为进一步推进福州市数据资产管理试点工作建设，依托数字福州建设基础，充分利用先进信息技术与数据资产管理理念进行有效融合，</w:t>
      </w:r>
      <w:bookmarkStart w:id="1" w:name="_Hlk177668782"/>
      <w:r>
        <w:rPr>
          <w:rFonts w:hint="eastAsia" w:ascii="仿宋" w:hAnsi="仿宋" w:eastAsia="仿宋" w:cs="仿宋"/>
          <w:color w:val="auto"/>
          <w:kern w:val="0"/>
          <w:sz w:val="32"/>
          <w:szCs w:val="32"/>
          <w:highlight w:val="none"/>
          <w:lang w:bidi="ar"/>
          <w14:ligatures w14:val="none"/>
        </w:rPr>
        <w:t>在数据资产盘点、数据资产登记、数据资产目录</w:t>
      </w:r>
      <w:r>
        <w:rPr>
          <w:rFonts w:hint="eastAsia" w:ascii="仿宋" w:hAnsi="仿宋" w:eastAsia="仿宋" w:cs="仿宋"/>
          <w:color w:val="auto"/>
          <w:kern w:val="0"/>
          <w:sz w:val="32"/>
          <w:szCs w:val="32"/>
          <w:highlight w:val="none"/>
          <w:lang w:val="en-US" w:eastAsia="zh-CN" w:bidi="ar"/>
          <w14:ligatures w14:val="none"/>
        </w:rPr>
        <w:t>汇总</w:t>
      </w:r>
      <w:r>
        <w:rPr>
          <w:rFonts w:hint="eastAsia" w:ascii="仿宋" w:hAnsi="仿宋" w:eastAsia="仿宋" w:cs="仿宋"/>
          <w:color w:val="auto"/>
          <w:kern w:val="0"/>
          <w:sz w:val="32"/>
          <w:szCs w:val="32"/>
          <w:highlight w:val="none"/>
          <w:lang w:bidi="ar"/>
          <w14:ligatures w14:val="none"/>
        </w:rPr>
        <w:t>、数据资产收益分配管理等方面形成一套可落地实施的信息化解决思路和设计方案，</w:t>
      </w:r>
      <w:bookmarkEnd w:id="1"/>
      <w:r>
        <w:rPr>
          <w:rFonts w:hint="eastAsia" w:ascii="仿宋" w:hAnsi="仿宋" w:eastAsia="仿宋" w:cs="仿宋"/>
          <w:color w:val="auto"/>
          <w:kern w:val="0"/>
          <w:sz w:val="32"/>
          <w:szCs w:val="32"/>
          <w:highlight w:val="none"/>
          <w:lang w:bidi="ar"/>
          <w14:ligatures w14:val="none"/>
        </w:rPr>
        <w:t>助</w:t>
      </w:r>
      <w:r>
        <w:rPr>
          <w:rFonts w:hint="eastAsia" w:ascii="仿宋" w:hAnsi="仿宋" w:eastAsia="仿宋" w:cs="仿宋"/>
          <w:color w:val="auto"/>
          <w:sz w:val="32"/>
          <w:szCs w:val="32"/>
          <w:highlight w:val="none"/>
        </w:rPr>
        <w:t>推试点工作从政策落实到执行、从业务管理到技术创新，形成闭环式、一体化的高效运作模式，</w:t>
      </w:r>
      <w:bookmarkStart w:id="2" w:name="_Hlk177744272"/>
      <w:r>
        <w:rPr>
          <w:rFonts w:hint="eastAsia" w:ascii="仿宋" w:hAnsi="仿宋" w:eastAsia="仿宋" w:cs="仿宋"/>
          <w:color w:val="auto"/>
          <w:sz w:val="32"/>
          <w:szCs w:val="32"/>
          <w:highlight w:val="none"/>
        </w:rPr>
        <w:t>推动数据资产管理工作落地见效</w:t>
      </w:r>
      <w:bookmarkEnd w:id="2"/>
      <w:r>
        <w:rPr>
          <w:rFonts w:hint="eastAsia" w:ascii="仿宋" w:hAnsi="仿宋" w:eastAsia="仿宋" w:cs="仿宋"/>
          <w:color w:val="auto"/>
          <w:sz w:val="32"/>
          <w:szCs w:val="32"/>
          <w:highlight w:val="none"/>
        </w:rPr>
        <w:t>，促进公共数据资产合规化使用、高质量供给，有效释放公共数据价值，使其加快形成新质生产力，推动数字经济高质量发展。</w:t>
      </w:r>
    </w:p>
    <w:p w14:paraId="30D5BB86">
      <w:pPr>
        <w:jc w:val="left"/>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二、项目主要需求</w:t>
      </w:r>
    </w:p>
    <w:p w14:paraId="03EDE81C">
      <w:pPr>
        <w:ind w:firstLine="640" w:firstLineChars="200"/>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围绕强化和规范福州市数据资产盘点、登记、</w:t>
      </w:r>
      <w:r>
        <w:rPr>
          <w:rFonts w:hint="eastAsia" w:ascii="仿宋" w:hAnsi="仿宋" w:eastAsia="仿宋" w:cs="仿宋"/>
          <w:color w:val="auto"/>
          <w:sz w:val="32"/>
          <w:szCs w:val="32"/>
          <w:highlight w:val="none"/>
          <w:lang w:eastAsia="zh"/>
        </w:rPr>
        <w:t>卡片</w:t>
      </w:r>
      <w:r>
        <w:rPr>
          <w:rFonts w:hint="eastAsia" w:ascii="仿宋" w:hAnsi="仿宋" w:eastAsia="仿宋" w:cs="仿宋"/>
          <w:color w:val="auto"/>
          <w:sz w:val="32"/>
          <w:szCs w:val="32"/>
          <w:highlight w:val="none"/>
        </w:rPr>
        <w:t>管理、</w:t>
      </w:r>
      <w:r>
        <w:rPr>
          <w:rFonts w:hint="eastAsia" w:ascii="仿宋" w:hAnsi="仿宋" w:eastAsia="仿宋" w:cs="仿宋"/>
          <w:color w:val="auto"/>
          <w:sz w:val="32"/>
          <w:szCs w:val="32"/>
          <w:highlight w:val="none"/>
          <w:lang w:eastAsia="zh"/>
        </w:rPr>
        <w:t>目录</w:t>
      </w:r>
      <w:r>
        <w:rPr>
          <w:rFonts w:hint="eastAsia" w:ascii="仿宋" w:hAnsi="仿宋" w:eastAsia="仿宋" w:cs="仿宋"/>
          <w:color w:val="auto"/>
          <w:sz w:val="32"/>
          <w:szCs w:val="32"/>
          <w:highlight w:val="none"/>
          <w:lang w:val="en-US" w:eastAsia="zh-CN"/>
        </w:rPr>
        <w:t>汇总</w:t>
      </w:r>
      <w:r>
        <w:rPr>
          <w:rFonts w:hint="eastAsia" w:ascii="仿宋" w:hAnsi="仿宋" w:eastAsia="仿宋" w:cs="仿宋"/>
          <w:color w:val="auto"/>
          <w:sz w:val="32"/>
          <w:szCs w:val="32"/>
          <w:highlight w:val="none"/>
        </w:rPr>
        <w:t>、收益分配等工作，结合当前政策及技术发展的方向和趋势，</w:t>
      </w:r>
      <w:r>
        <w:rPr>
          <w:rFonts w:hint="eastAsia" w:ascii="仿宋" w:hAnsi="仿宋" w:eastAsia="仿宋"/>
          <w:color w:val="auto"/>
          <w:sz w:val="32"/>
          <w:szCs w:val="32"/>
          <w:highlight w:val="none"/>
        </w:rPr>
        <w:t>福州市数据资产管理试点建设方案</w:t>
      </w:r>
      <w:r>
        <w:rPr>
          <w:rFonts w:hint="eastAsia" w:ascii="仿宋" w:hAnsi="仿宋" w:eastAsia="仿宋" w:cs="仿宋"/>
          <w:color w:val="auto"/>
          <w:sz w:val="32"/>
          <w:szCs w:val="32"/>
          <w:highlight w:val="none"/>
        </w:rPr>
        <w:t>的主要内容包括如下：</w:t>
      </w:r>
    </w:p>
    <w:p w14:paraId="7F86BD4A">
      <w:pPr>
        <w:ind w:firstLine="640" w:firstLineChars="200"/>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eastAsia="zh"/>
        </w:rPr>
        <w:t>一</w:t>
      </w:r>
      <w:r>
        <w:rPr>
          <w:rFonts w:hint="eastAsia" w:ascii="仿宋" w:hAnsi="仿宋" w:eastAsia="仿宋" w:cs="仿宋"/>
          <w:color w:val="auto"/>
          <w:sz w:val="32"/>
          <w:szCs w:val="32"/>
          <w:highlight w:val="none"/>
        </w:rPr>
        <w:t>）数据资产盘点</w:t>
      </w:r>
    </w:p>
    <w:p w14:paraId="58694D2A">
      <w:pPr>
        <w:ind w:firstLine="640" w:firstLineChars="200"/>
        <w:jc w:val="left"/>
        <w:rPr>
          <w:rFonts w:hint="eastAsia" w:ascii="仿宋" w:hAnsi="仿宋" w:eastAsia="仿宋" w:cs="仿宋"/>
          <w:color w:val="auto"/>
          <w:sz w:val="32"/>
          <w:szCs w:val="32"/>
          <w:highlight w:val="none"/>
          <w:lang w:eastAsia="zh"/>
        </w:rPr>
      </w:pPr>
      <w:r>
        <w:rPr>
          <w:rFonts w:hint="eastAsia" w:ascii="仿宋" w:hAnsi="仿宋" w:eastAsia="仿宋" w:cs="仿宋"/>
          <w:color w:val="auto"/>
          <w:sz w:val="32"/>
          <w:szCs w:val="32"/>
          <w:highlight w:val="none"/>
          <w:lang w:eastAsia="zh"/>
        </w:rPr>
        <w:t>能够</w:t>
      </w:r>
      <w:r>
        <w:rPr>
          <w:rFonts w:hint="eastAsia" w:ascii="仿宋" w:hAnsi="仿宋" w:eastAsia="仿宋" w:cs="仿宋"/>
          <w:color w:val="auto"/>
          <w:sz w:val="32"/>
          <w:szCs w:val="32"/>
          <w:highlight w:val="none"/>
        </w:rPr>
        <w:t>围绕数据资产</w:t>
      </w:r>
      <w:r>
        <w:rPr>
          <w:rFonts w:hint="eastAsia" w:ascii="仿宋" w:hAnsi="仿宋" w:eastAsia="仿宋" w:cs="仿宋"/>
          <w:color w:val="auto"/>
          <w:sz w:val="32"/>
          <w:szCs w:val="32"/>
          <w:highlight w:val="none"/>
          <w:lang w:eastAsia="zh"/>
        </w:rPr>
        <w:t>目录，对数据资产进行盘点，以全面了解组织内部所有数据资产的数据量、数据质量、使用情况、系统分布等，可自动生成数据盘点报告、数据质量评价报告等，确保数据的真实性、有效性。</w:t>
      </w:r>
    </w:p>
    <w:p w14:paraId="3A838CB2">
      <w:pPr>
        <w:ind w:firstLine="640" w:firstLineChars="200"/>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（二）数据资产登记</w:t>
      </w:r>
    </w:p>
    <w:p w14:paraId="5488BF72">
      <w:pPr>
        <w:ind w:firstLine="640" w:firstLineChars="200"/>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围绕“数据三权”登记工作，建设数据资产登记系统，为单位和企业提供数据资产登记的受理、审核、公示、登记、上区块链、证书下载等功能，并支持预登记信息公示和登记证书的开放查询，以及登记证书的变更、年检和注销等服务，有序推进数据资产确权工作，推动数据资产的合规使用与价值变现。其中，登记信息在审核完成后需</w:t>
      </w:r>
      <w:r>
        <w:rPr>
          <w:rFonts w:hint="eastAsia" w:ascii="仿宋" w:hAnsi="仿宋" w:eastAsia="仿宋" w:cs="仿宋"/>
          <w:color w:val="auto"/>
          <w:sz w:val="32"/>
          <w:szCs w:val="32"/>
          <w:highlight w:val="none"/>
          <w:lang w:eastAsia="zh"/>
        </w:rPr>
        <w:t>记录</w:t>
      </w:r>
      <w:r>
        <w:rPr>
          <w:rFonts w:hint="eastAsia" w:ascii="仿宋" w:hAnsi="仿宋" w:eastAsia="仿宋" w:cs="仿宋"/>
          <w:color w:val="auto"/>
          <w:sz w:val="32"/>
          <w:szCs w:val="32"/>
          <w:highlight w:val="none"/>
        </w:rPr>
        <w:t>区块链</w:t>
      </w:r>
      <w:r>
        <w:rPr>
          <w:rFonts w:hint="eastAsia" w:ascii="仿宋" w:hAnsi="仿宋" w:eastAsia="仿宋" w:cs="仿宋"/>
          <w:color w:val="auto"/>
          <w:sz w:val="32"/>
          <w:szCs w:val="32"/>
          <w:highlight w:val="none"/>
          <w:lang w:eastAsia="zh"/>
        </w:rPr>
        <w:t>中，并生成登记证书</w:t>
      </w:r>
      <w:r>
        <w:rPr>
          <w:rFonts w:hint="eastAsia" w:ascii="仿宋" w:hAnsi="仿宋" w:eastAsia="仿宋" w:cs="仿宋"/>
          <w:color w:val="auto"/>
          <w:sz w:val="32"/>
          <w:szCs w:val="32"/>
          <w:highlight w:val="none"/>
        </w:rPr>
        <w:t>。</w:t>
      </w:r>
    </w:p>
    <w:p w14:paraId="333A2085">
      <w:pPr>
        <w:ind w:firstLine="640" w:firstLineChars="200"/>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（三）数据资产</w:t>
      </w:r>
      <w:r>
        <w:rPr>
          <w:rFonts w:hint="eastAsia" w:ascii="仿宋" w:hAnsi="仿宋" w:eastAsia="仿宋" w:cs="仿宋"/>
          <w:color w:val="auto"/>
          <w:sz w:val="32"/>
          <w:szCs w:val="32"/>
          <w:highlight w:val="none"/>
          <w:lang w:eastAsia="zh"/>
        </w:rPr>
        <w:t>卡片</w:t>
      </w:r>
      <w:r>
        <w:rPr>
          <w:rFonts w:hint="eastAsia" w:ascii="仿宋" w:hAnsi="仿宋" w:eastAsia="仿宋" w:cs="仿宋"/>
          <w:color w:val="auto"/>
          <w:sz w:val="32"/>
          <w:szCs w:val="32"/>
          <w:highlight w:val="none"/>
        </w:rPr>
        <w:t>管理</w:t>
      </w:r>
    </w:p>
    <w:p w14:paraId="20C7F5BB">
      <w:pPr>
        <w:ind w:firstLine="640" w:firstLineChars="200"/>
        <w:jc w:val="left"/>
        <w:rPr>
          <w:rFonts w:hint="eastAsia" w:ascii="仿宋" w:hAnsi="仿宋" w:eastAsia="仿宋" w:cs="仿宋"/>
          <w:color w:val="auto"/>
          <w:sz w:val="32"/>
          <w:szCs w:val="32"/>
          <w:highlight w:val="none"/>
          <w:lang w:eastAsia="zh"/>
        </w:rPr>
      </w:pPr>
      <w:r>
        <w:rPr>
          <w:rFonts w:hint="eastAsia" w:ascii="仿宋" w:hAnsi="仿宋" w:eastAsia="仿宋" w:cs="仿宋"/>
          <w:color w:val="auto"/>
          <w:sz w:val="32"/>
          <w:szCs w:val="32"/>
          <w:highlight w:val="none"/>
          <w:lang w:eastAsia="zh"/>
        </w:rPr>
        <w:t>建设与财政账户体系保持一致的账套体系，针对已登记的数据资产，按照财政部预算一体化要求，建立起数据资产卡片管理，同步财政总预算会计中的项目来关联项目信息，形成涵盖数据资产入库、变动、使用、处置等全生命周期管理，并实现将卡片同至步至到福建省预算管理一体化系统资产模块，最终形成财政国有资产报表。</w:t>
      </w:r>
    </w:p>
    <w:p w14:paraId="73088873">
      <w:pPr>
        <w:ind w:firstLine="640" w:firstLineChars="200"/>
        <w:jc w:val="left"/>
        <w:rPr>
          <w:rFonts w:hint="eastAsia" w:ascii="仿宋" w:hAnsi="仿宋" w:eastAsia="仿宋" w:cs="仿宋"/>
          <w:color w:val="auto"/>
          <w:sz w:val="32"/>
          <w:szCs w:val="32"/>
          <w:highlight w:val="none"/>
          <w:lang w:eastAsia="zh"/>
        </w:rPr>
      </w:pPr>
      <w:r>
        <w:rPr>
          <w:rFonts w:hint="eastAsia" w:ascii="仿宋" w:hAnsi="仿宋" w:eastAsia="仿宋" w:cs="仿宋"/>
          <w:color w:val="auto"/>
          <w:sz w:val="32"/>
          <w:szCs w:val="32"/>
          <w:highlight w:val="none"/>
        </w:rPr>
        <w:t>（四）数据资产</w:t>
      </w:r>
      <w:r>
        <w:rPr>
          <w:rFonts w:hint="eastAsia" w:ascii="仿宋" w:hAnsi="仿宋" w:eastAsia="仿宋" w:cs="仿宋"/>
          <w:color w:val="auto"/>
          <w:sz w:val="32"/>
          <w:szCs w:val="32"/>
          <w:highlight w:val="none"/>
          <w:lang w:eastAsia="zh"/>
        </w:rPr>
        <w:t>目录</w:t>
      </w:r>
      <w:r>
        <w:rPr>
          <w:rFonts w:hint="eastAsia" w:ascii="仿宋" w:hAnsi="仿宋" w:eastAsia="仿宋" w:cs="仿宋"/>
          <w:color w:val="auto"/>
          <w:sz w:val="32"/>
          <w:szCs w:val="32"/>
          <w:highlight w:val="none"/>
          <w:lang w:val="en-US" w:eastAsia="zh-CN"/>
        </w:rPr>
        <w:t>汇总</w:t>
      </w:r>
    </w:p>
    <w:p w14:paraId="56A0A797">
      <w:pPr>
        <w:ind w:firstLine="640" w:firstLineChars="200"/>
        <w:jc w:val="left"/>
        <w:rPr>
          <w:rFonts w:hint="eastAsia" w:ascii="宋体" w:hAnsi="宋体" w:eastAsia="宋体"/>
          <w:color w:val="auto"/>
          <w:highlight w:val="none"/>
        </w:rPr>
      </w:pPr>
      <w:r>
        <w:rPr>
          <w:rFonts w:hint="eastAsia" w:ascii="仿宋" w:hAnsi="仿宋" w:eastAsia="仿宋" w:cs="仿宋"/>
          <w:color w:val="auto"/>
          <w:sz w:val="32"/>
          <w:szCs w:val="32"/>
          <w:highlight w:val="none"/>
          <w:lang w:eastAsia="zh"/>
        </w:rPr>
        <w:t>根据标准的数据资产目录，在门户中进行</w:t>
      </w:r>
      <w:r>
        <w:rPr>
          <w:rFonts w:hint="eastAsia" w:ascii="仿宋" w:hAnsi="仿宋" w:eastAsia="仿宋" w:cs="仿宋"/>
          <w:color w:val="auto"/>
          <w:sz w:val="32"/>
          <w:szCs w:val="32"/>
          <w:highlight w:val="none"/>
          <w:lang w:val="en-US" w:eastAsia="zh-CN"/>
        </w:rPr>
        <w:t>汇总</w:t>
      </w:r>
      <w:r>
        <w:rPr>
          <w:rFonts w:hint="eastAsia" w:ascii="仿宋" w:hAnsi="仿宋" w:eastAsia="仿宋" w:cs="仿宋"/>
          <w:color w:val="auto"/>
          <w:sz w:val="32"/>
          <w:szCs w:val="32"/>
          <w:highlight w:val="none"/>
          <w:lang w:eastAsia="zh"/>
        </w:rPr>
        <w:t>展示，由此促进数据资产的交易、流通。在此基础上</w:t>
      </w:r>
      <w:r>
        <w:rPr>
          <w:rFonts w:hint="eastAsia" w:ascii="仿宋" w:hAnsi="仿宋" w:eastAsia="仿宋" w:cs="仿宋"/>
          <w:color w:val="auto"/>
          <w:sz w:val="32"/>
          <w:szCs w:val="32"/>
          <w:highlight w:val="none"/>
        </w:rPr>
        <w:t>提供</w:t>
      </w:r>
      <w:r>
        <w:rPr>
          <w:rFonts w:hint="eastAsia" w:ascii="仿宋" w:hAnsi="仿宋" w:eastAsia="仿宋" w:cs="仿宋"/>
          <w:color w:val="auto"/>
          <w:sz w:val="32"/>
          <w:szCs w:val="32"/>
          <w:highlight w:val="none"/>
          <w:lang w:eastAsia="zh"/>
        </w:rPr>
        <w:t>目录下的</w:t>
      </w:r>
      <w:r>
        <w:rPr>
          <w:rFonts w:hint="eastAsia" w:ascii="仿宋" w:hAnsi="仿宋" w:eastAsia="仿宋" w:cs="仿宋"/>
          <w:color w:val="auto"/>
          <w:sz w:val="32"/>
          <w:szCs w:val="32"/>
          <w:highlight w:val="none"/>
        </w:rPr>
        <w:t>数据</w:t>
      </w:r>
      <w:r>
        <w:rPr>
          <w:rFonts w:hint="eastAsia" w:ascii="仿宋" w:hAnsi="仿宋" w:eastAsia="仿宋" w:cs="仿宋"/>
          <w:color w:val="auto"/>
          <w:sz w:val="32"/>
          <w:szCs w:val="32"/>
          <w:highlight w:val="none"/>
          <w:lang w:eastAsia="zh"/>
        </w:rPr>
        <w:t>产品信息展示、数据生产单位</w:t>
      </w:r>
      <w:r>
        <w:rPr>
          <w:rFonts w:hint="eastAsia" w:ascii="仿宋" w:hAnsi="仿宋" w:eastAsia="仿宋" w:cs="仿宋"/>
          <w:color w:val="auto"/>
          <w:sz w:val="32"/>
          <w:szCs w:val="32"/>
          <w:highlight w:val="none"/>
        </w:rPr>
        <w:t>等，</w:t>
      </w:r>
      <w:r>
        <w:rPr>
          <w:rFonts w:hint="eastAsia" w:ascii="仿宋" w:hAnsi="仿宋" w:eastAsia="仿宋" w:cs="仿宋"/>
          <w:color w:val="auto"/>
          <w:sz w:val="32"/>
          <w:szCs w:val="32"/>
          <w:highlight w:val="none"/>
          <w:lang w:eastAsia="zh"/>
        </w:rPr>
        <w:t>让数据需求方和数据服务商能够根据客户需求快速匹配供给产品</w:t>
      </w:r>
      <w:r>
        <w:rPr>
          <w:rFonts w:hint="eastAsia" w:ascii="仿宋" w:hAnsi="仿宋" w:eastAsia="仿宋" w:cs="仿宋"/>
          <w:color w:val="auto"/>
          <w:sz w:val="32"/>
          <w:szCs w:val="32"/>
          <w:highlight w:val="none"/>
        </w:rPr>
        <w:t>，以</w:t>
      </w:r>
      <w:r>
        <w:rPr>
          <w:rFonts w:hint="eastAsia" w:ascii="仿宋" w:hAnsi="仿宋" w:eastAsia="仿宋" w:cs="仿宋"/>
          <w:color w:val="auto"/>
          <w:sz w:val="32"/>
          <w:szCs w:val="32"/>
          <w:highlight w:val="none"/>
          <w:lang w:eastAsia="zh"/>
        </w:rPr>
        <w:t>促进数据资产交易流通</w:t>
      </w:r>
      <w:r>
        <w:rPr>
          <w:rFonts w:hint="eastAsia" w:ascii="仿宋" w:hAnsi="仿宋" w:eastAsia="仿宋" w:cs="仿宋"/>
          <w:color w:val="auto"/>
          <w:sz w:val="32"/>
          <w:szCs w:val="32"/>
          <w:highlight w:val="none"/>
        </w:rPr>
        <w:t>，最大化发挥数据要素价值。</w:t>
      </w:r>
    </w:p>
    <w:p w14:paraId="6C4A362D">
      <w:pPr>
        <w:ind w:firstLine="640" w:firstLineChars="200"/>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（五）数据资产收益分配及清分</w:t>
      </w:r>
    </w:p>
    <w:p w14:paraId="78318FB9">
      <w:pPr>
        <w:ind w:firstLine="640" w:firstLineChars="200"/>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数据资产</w:t>
      </w:r>
      <w:r>
        <w:rPr>
          <w:rFonts w:hint="eastAsia" w:ascii="仿宋" w:hAnsi="仿宋" w:eastAsia="仿宋" w:cs="仿宋"/>
          <w:color w:val="auto"/>
          <w:sz w:val="32"/>
          <w:szCs w:val="32"/>
          <w:highlight w:val="none"/>
          <w:lang w:eastAsia="zh"/>
        </w:rPr>
        <w:t>运营所产生的相关收益，</w:t>
      </w:r>
      <w:r>
        <w:rPr>
          <w:rFonts w:hint="eastAsia" w:ascii="仿宋" w:hAnsi="仿宋" w:eastAsia="仿宋" w:cs="仿宋"/>
          <w:color w:val="auto"/>
          <w:sz w:val="32"/>
          <w:szCs w:val="32"/>
          <w:highlight w:val="none"/>
          <w:lang w:val="en-US" w:eastAsia="zh-CN"/>
        </w:rPr>
        <w:t>属于非</w:t>
      </w:r>
      <w:r>
        <w:rPr>
          <w:rFonts w:hint="eastAsia" w:ascii="仿宋" w:hAnsi="仿宋" w:eastAsia="仿宋" w:cs="仿宋"/>
          <w:color w:val="auto"/>
          <w:sz w:val="32"/>
          <w:szCs w:val="32"/>
          <w:highlight w:val="none"/>
          <w:lang w:eastAsia="zh"/>
        </w:rPr>
        <w:t>税收入</w:t>
      </w:r>
      <w:r>
        <w:rPr>
          <w:rFonts w:hint="eastAsia" w:ascii="仿宋" w:hAnsi="仿宋" w:eastAsia="仿宋" w:cs="仿宋"/>
          <w:color w:val="auto"/>
          <w:sz w:val="32"/>
          <w:szCs w:val="32"/>
          <w:highlight w:val="none"/>
          <w:lang w:eastAsia="zh-CN"/>
        </w:rPr>
        <w:t>的</w:t>
      </w:r>
      <w:r>
        <w:rPr>
          <w:rFonts w:hint="eastAsia" w:ascii="仿宋" w:hAnsi="仿宋" w:eastAsia="仿宋" w:cs="仿宋"/>
          <w:color w:val="auto"/>
          <w:sz w:val="32"/>
          <w:szCs w:val="32"/>
          <w:highlight w:val="none"/>
          <w:lang w:val="en-US" w:eastAsia="zh-CN"/>
        </w:rPr>
        <w:t>应</w:t>
      </w:r>
      <w:r>
        <w:rPr>
          <w:rFonts w:hint="eastAsia" w:ascii="仿宋" w:hAnsi="仿宋" w:eastAsia="仿宋" w:cs="仿宋"/>
          <w:color w:val="auto"/>
          <w:sz w:val="32"/>
          <w:szCs w:val="32"/>
          <w:highlight w:val="none"/>
          <w:lang w:eastAsia="zh"/>
        </w:rPr>
        <w:t>缴交到非税账户中，并根据财政清分规则进行财政清分，同时能够对缴交的非税收入能开具出财政电子票据，以作为缴交非税的凭证。以及实现其衍生</w:t>
      </w:r>
      <w:r>
        <w:rPr>
          <w:rFonts w:hint="eastAsia" w:ascii="仿宋" w:hAnsi="仿宋" w:eastAsia="仿宋" w:cs="仿宋"/>
          <w:color w:val="auto"/>
          <w:sz w:val="32"/>
          <w:szCs w:val="32"/>
          <w:highlight w:val="none"/>
        </w:rPr>
        <w:t>的资金对账</w:t>
      </w:r>
      <w:r>
        <w:rPr>
          <w:rFonts w:hint="eastAsia" w:ascii="仿宋" w:hAnsi="仿宋" w:eastAsia="仿宋" w:cs="仿宋"/>
          <w:color w:val="auto"/>
          <w:sz w:val="32"/>
          <w:szCs w:val="32"/>
          <w:highlight w:val="none"/>
          <w:lang w:eastAsia="zh"/>
        </w:rPr>
        <w:t>、台账记录，以及权益方相关的清分结果的展示</w:t>
      </w:r>
      <w:r>
        <w:rPr>
          <w:rFonts w:hint="eastAsia" w:ascii="仿宋" w:hAnsi="仿宋" w:eastAsia="仿宋" w:cs="仿宋"/>
          <w:color w:val="auto"/>
          <w:sz w:val="32"/>
          <w:szCs w:val="32"/>
          <w:highlight w:val="none"/>
        </w:rPr>
        <w:t>。</w:t>
      </w:r>
    </w:p>
    <w:p w14:paraId="2063B481">
      <w:pPr>
        <w:jc w:val="left"/>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三、方案内容要求</w:t>
      </w:r>
    </w:p>
    <w:tbl>
      <w:tblPr>
        <w:tblStyle w:val="6"/>
        <w:tblW w:w="835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1559"/>
        <w:gridCol w:w="5529"/>
      </w:tblGrid>
      <w:tr w14:paraId="2FD4E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830" w:type="dxa"/>
            <w:gridSpan w:val="2"/>
            <w:shd w:val="clear" w:color="auto" w:fill="auto"/>
            <w:vAlign w:val="center"/>
          </w:tcPr>
          <w:p w14:paraId="2C107BED">
            <w:pPr>
              <w:widowControl/>
              <w:jc w:val="center"/>
              <w:rPr>
                <w:rFonts w:hint="eastAsia" w:ascii="仿宋" w:hAnsi="仿宋" w:eastAsia="仿宋" w:cs="宋体"/>
                <w:b/>
                <w:bCs/>
                <w:color w:val="auto"/>
                <w:kern w:val="0"/>
                <w:sz w:val="28"/>
                <w:szCs w:val="28"/>
                <w:highlight w:val="none"/>
              </w:rPr>
            </w:pPr>
            <w:r>
              <w:rPr>
                <w:rFonts w:hint="eastAsia" w:ascii="仿宋" w:hAnsi="仿宋" w:eastAsia="仿宋" w:cs="宋体"/>
                <w:b/>
                <w:bCs/>
                <w:color w:val="auto"/>
                <w:kern w:val="0"/>
                <w:sz w:val="28"/>
                <w:szCs w:val="28"/>
                <w:highlight w:val="none"/>
              </w:rPr>
              <w:t>编制项目</w:t>
            </w:r>
          </w:p>
        </w:tc>
        <w:tc>
          <w:tcPr>
            <w:tcW w:w="5529" w:type="dxa"/>
            <w:shd w:val="clear" w:color="auto" w:fill="auto"/>
            <w:vAlign w:val="center"/>
          </w:tcPr>
          <w:p w14:paraId="0F6EFC61">
            <w:pPr>
              <w:widowControl/>
              <w:jc w:val="center"/>
              <w:rPr>
                <w:rFonts w:hint="eastAsia" w:ascii="仿宋" w:hAnsi="仿宋" w:eastAsia="仿宋" w:cs="宋体"/>
                <w:b/>
                <w:bCs/>
                <w:color w:val="auto"/>
                <w:kern w:val="0"/>
                <w:sz w:val="28"/>
                <w:szCs w:val="28"/>
                <w:highlight w:val="none"/>
              </w:rPr>
            </w:pPr>
            <w:r>
              <w:rPr>
                <w:rFonts w:hint="eastAsia" w:ascii="仿宋" w:hAnsi="仿宋" w:eastAsia="仿宋" w:cs="宋体"/>
                <w:b/>
                <w:bCs/>
                <w:color w:val="auto"/>
                <w:kern w:val="0"/>
                <w:sz w:val="28"/>
                <w:szCs w:val="28"/>
                <w:highlight w:val="none"/>
              </w:rPr>
              <w:t>编制要求</w:t>
            </w:r>
          </w:p>
        </w:tc>
      </w:tr>
      <w:tr w14:paraId="45588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2830" w:type="dxa"/>
            <w:gridSpan w:val="2"/>
            <w:shd w:val="clear" w:color="auto" w:fill="auto"/>
            <w:vAlign w:val="center"/>
          </w:tcPr>
          <w:p w14:paraId="14D97B7A">
            <w:pPr>
              <w:widowControl/>
              <w:jc w:val="center"/>
              <w:rPr>
                <w:rFonts w:hint="eastAsia"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项目概述</w:t>
            </w:r>
          </w:p>
        </w:tc>
        <w:tc>
          <w:tcPr>
            <w:tcW w:w="5529" w:type="dxa"/>
            <w:shd w:val="clear" w:color="auto" w:fill="auto"/>
            <w:vAlign w:val="center"/>
          </w:tcPr>
          <w:p w14:paraId="7662BF79">
            <w:pPr>
              <w:widowControl/>
              <w:jc w:val="left"/>
              <w:rPr>
                <w:rFonts w:hint="eastAsia" w:ascii="仿宋" w:hAnsi="仿宋" w:eastAsia="仿宋" w:cs="宋体"/>
                <w:color w:val="auto"/>
                <w:kern w:val="0"/>
                <w:sz w:val="28"/>
                <w:szCs w:val="28"/>
                <w:highlight w:val="none"/>
              </w:rPr>
            </w:pPr>
            <w:r>
              <w:rPr>
                <w:rFonts w:ascii="仿宋" w:hAnsi="仿宋" w:eastAsia="仿宋" w:cs="宋体"/>
                <w:color w:val="auto"/>
                <w:kern w:val="0"/>
                <w:sz w:val="28"/>
                <w:szCs w:val="28"/>
                <w:highlight w:val="none"/>
              </w:rPr>
              <w:t>阐述</w:t>
            </w:r>
            <w:r>
              <w:rPr>
                <w:rFonts w:hint="eastAsia" w:ascii="仿宋" w:hAnsi="仿宋" w:eastAsia="仿宋" w:cs="宋体"/>
                <w:color w:val="auto"/>
                <w:kern w:val="0"/>
                <w:sz w:val="28"/>
                <w:szCs w:val="28"/>
                <w:highlight w:val="none"/>
              </w:rPr>
              <w:t>本项目的基本概况，</w:t>
            </w:r>
            <w:r>
              <w:rPr>
                <w:rFonts w:ascii="仿宋" w:hAnsi="仿宋" w:eastAsia="仿宋" w:cs="宋体"/>
                <w:color w:val="auto"/>
                <w:kern w:val="0"/>
                <w:sz w:val="28"/>
                <w:szCs w:val="28"/>
                <w:highlight w:val="none"/>
              </w:rPr>
              <w:t>包括但不限于以下内容：</w:t>
            </w:r>
            <w:r>
              <w:rPr>
                <w:rFonts w:hint="eastAsia" w:ascii="仿宋" w:hAnsi="仿宋" w:eastAsia="仿宋" w:cs="宋体"/>
                <w:color w:val="auto"/>
                <w:kern w:val="0"/>
                <w:sz w:val="28"/>
                <w:szCs w:val="28"/>
                <w:highlight w:val="none"/>
              </w:rPr>
              <w:t>项目背景</w:t>
            </w:r>
            <w:r>
              <w:rPr>
                <w:rFonts w:ascii="仿宋" w:hAnsi="仿宋" w:eastAsia="仿宋" w:cs="宋体"/>
                <w:color w:val="auto"/>
                <w:kern w:val="0"/>
                <w:sz w:val="28"/>
                <w:szCs w:val="28"/>
                <w:highlight w:val="none"/>
              </w:rPr>
              <w:t>、</w:t>
            </w:r>
            <w:r>
              <w:rPr>
                <w:rFonts w:hint="eastAsia" w:ascii="仿宋" w:hAnsi="仿宋" w:eastAsia="仿宋" w:cs="宋体"/>
                <w:color w:val="auto"/>
                <w:kern w:val="0"/>
                <w:sz w:val="28"/>
                <w:szCs w:val="28"/>
                <w:highlight w:val="none"/>
              </w:rPr>
              <w:t>政策</w:t>
            </w:r>
            <w:r>
              <w:rPr>
                <w:rFonts w:ascii="仿宋" w:hAnsi="仿宋" w:eastAsia="仿宋" w:cs="宋体"/>
                <w:color w:val="auto"/>
                <w:kern w:val="0"/>
                <w:sz w:val="28"/>
                <w:szCs w:val="28"/>
                <w:highlight w:val="none"/>
              </w:rPr>
              <w:t>依据、</w:t>
            </w:r>
            <w:r>
              <w:rPr>
                <w:rFonts w:hint="eastAsia" w:ascii="仿宋" w:hAnsi="仿宋" w:eastAsia="仿宋" w:cs="宋体"/>
                <w:color w:val="auto"/>
                <w:kern w:val="0"/>
                <w:sz w:val="28"/>
                <w:szCs w:val="28"/>
                <w:highlight w:val="none"/>
              </w:rPr>
              <w:t>建设目标</w:t>
            </w:r>
            <w:r>
              <w:rPr>
                <w:rFonts w:ascii="仿宋" w:hAnsi="仿宋" w:eastAsia="仿宋" w:cs="宋体"/>
                <w:color w:val="auto"/>
                <w:kern w:val="0"/>
                <w:sz w:val="28"/>
                <w:szCs w:val="28"/>
                <w:highlight w:val="none"/>
              </w:rPr>
              <w:t>等。</w:t>
            </w:r>
          </w:p>
        </w:tc>
      </w:tr>
      <w:tr w14:paraId="5B0ED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2830" w:type="dxa"/>
            <w:gridSpan w:val="2"/>
            <w:shd w:val="clear" w:color="auto" w:fill="auto"/>
            <w:vAlign w:val="center"/>
          </w:tcPr>
          <w:p w14:paraId="6F836D04">
            <w:pPr>
              <w:widowControl/>
              <w:jc w:val="center"/>
              <w:rPr>
                <w:rFonts w:hint="eastAsia"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现状分析</w:t>
            </w:r>
          </w:p>
        </w:tc>
        <w:tc>
          <w:tcPr>
            <w:tcW w:w="5529" w:type="dxa"/>
            <w:shd w:val="clear" w:color="auto" w:fill="auto"/>
            <w:vAlign w:val="center"/>
          </w:tcPr>
          <w:p w14:paraId="1FFA294B">
            <w:pPr>
              <w:widowControl/>
              <w:jc w:val="left"/>
              <w:rPr>
                <w:rFonts w:hint="eastAsia"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阐述本项现状分析，</w:t>
            </w:r>
            <w:r>
              <w:rPr>
                <w:rFonts w:ascii="仿宋" w:hAnsi="仿宋" w:eastAsia="仿宋" w:cs="宋体"/>
                <w:color w:val="auto"/>
                <w:kern w:val="0"/>
                <w:sz w:val="28"/>
                <w:szCs w:val="28"/>
                <w:highlight w:val="none"/>
              </w:rPr>
              <w:t>包括但不限于以下内容：</w:t>
            </w:r>
            <w:r>
              <w:rPr>
                <w:rFonts w:hint="eastAsia" w:ascii="仿宋" w:hAnsi="仿宋" w:eastAsia="仿宋" w:cs="宋体"/>
                <w:color w:val="auto"/>
                <w:kern w:val="0"/>
                <w:sz w:val="28"/>
                <w:szCs w:val="28"/>
                <w:highlight w:val="none"/>
              </w:rPr>
              <w:t>业务现状、应用系统现状、数据应用现状、建设必要性分析</w:t>
            </w:r>
            <w:bookmarkStart w:id="3" w:name="_GoBack"/>
            <w:bookmarkEnd w:id="3"/>
            <w:r>
              <w:rPr>
                <w:rFonts w:ascii="仿宋" w:hAnsi="仿宋" w:eastAsia="仿宋" w:cs="宋体"/>
                <w:color w:val="auto"/>
                <w:kern w:val="0"/>
                <w:sz w:val="28"/>
                <w:szCs w:val="28"/>
                <w:highlight w:val="none"/>
              </w:rPr>
              <w:t>等。</w:t>
            </w:r>
          </w:p>
        </w:tc>
      </w:tr>
      <w:tr w14:paraId="1908B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2830" w:type="dxa"/>
            <w:gridSpan w:val="2"/>
            <w:shd w:val="clear" w:color="auto" w:fill="auto"/>
            <w:vAlign w:val="center"/>
          </w:tcPr>
          <w:p w14:paraId="63A86630">
            <w:pPr>
              <w:widowControl/>
              <w:jc w:val="center"/>
              <w:rPr>
                <w:rFonts w:hint="eastAsia"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需求分析</w:t>
            </w:r>
          </w:p>
        </w:tc>
        <w:tc>
          <w:tcPr>
            <w:tcW w:w="5529" w:type="dxa"/>
            <w:shd w:val="clear" w:color="auto" w:fill="auto"/>
            <w:vAlign w:val="center"/>
          </w:tcPr>
          <w:p w14:paraId="4E652351">
            <w:pPr>
              <w:widowControl/>
              <w:jc w:val="left"/>
              <w:rPr>
                <w:rFonts w:hint="eastAsia"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阐述本项目的需求分析，包括不限于以下内容：业务需求、用户需求、功能需求、数据资源需求、对接需求、网络安全需求等。</w:t>
            </w:r>
          </w:p>
        </w:tc>
      </w:tr>
      <w:tr w14:paraId="3A9A3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2830" w:type="dxa"/>
            <w:gridSpan w:val="2"/>
            <w:shd w:val="clear" w:color="auto" w:fill="auto"/>
            <w:vAlign w:val="center"/>
          </w:tcPr>
          <w:p w14:paraId="7EB33DF7">
            <w:pPr>
              <w:widowControl/>
              <w:jc w:val="center"/>
              <w:rPr>
                <w:rFonts w:hint="eastAsia"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总体设计</w:t>
            </w:r>
          </w:p>
        </w:tc>
        <w:tc>
          <w:tcPr>
            <w:tcW w:w="5529" w:type="dxa"/>
            <w:shd w:val="clear" w:color="auto" w:fill="auto"/>
            <w:vAlign w:val="center"/>
          </w:tcPr>
          <w:p w14:paraId="3D5D2D28">
            <w:pPr>
              <w:widowControl/>
              <w:jc w:val="left"/>
              <w:rPr>
                <w:rFonts w:hint="eastAsia"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阐述本项目的总体设计，包括不限于以下内容：总体思路、总体架构、数据架构、数据流、网络架构、主要设计路线等。</w:t>
            </w:r>
          </w:p>
        </w:tc>
      </w:tr>
      <w:tr w14:paraId="39848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1271" w:type="dxa"/>
            <w:vMerge w:val="restart"/>
            <w:shd w:val="clear" w:color="auto" w:fill="auto"/>
            <w:vAlign w:val="center"/>
          </w:tcPr>
          <w:p w14:paraId="4A5344F0">
            <w:pPr>
              <w:widowControl/>
              <w:jc w:val="center"/>
              <w:rPr>
                <w:rFonts w:hint="eastAsia"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建设内容设计</w:t>
            </w:r>
          </w:p>
        </w:tc>
        <w:tc>
          <w:tcPr>
            <w:tcW w:w="1559" w:type="dxa"/>
            <w:shd w:val="clear" w:color="auto" w:fill="auto"/>
            <w:vAlign w:val="center"/>
          </w:tcPr>
          <w:p w14:paraId="778898A8">
            <w:pPr>
              <w:widowControl/>
              <w:jc w:val="left"/>
              <w:rPr>
                <w:rFonts w:hint="eastAsia" w:ascii="仿宋" w:hAnsi="仿宋" w:eastAsia="仿宋" w:cs="宋体"/>
                <w:color w:val="auto"/>
                <w:kern w:val="0"/>
                <w:sz w:val="28"/>
                <w:szCs w:val="28"/>
                <w:highlight w:val="none"/>
                <w:lang w:eastAsia="zh"/>
              </w:rPr>
            </w:pPr>
            <w:r>
              <w:rPr>
                <w:rFonts w:hint="eastAsia" w:ascii="仿宋" w:hAnsi="仿宋" w:eastAsia="仿宋" w:cs="宋体"/>
                <w:color w:val="auto"/>
                <w:kern w:val="0"/>
                <w:sz w:val="28"/>
                <w:szCs w:val="28"/>
                <w:highlight w:val="none"/>
                <w:lang w:eastAsia="zh"/>
              </w:rPr>
              <w:t>数据资产盘点</w:t>
            </w:r>
          </w:p>
        </w:tc>
        <w:tc>
          <w:tcPr>
            <w:tcW w:w="5529" w:type="dxa"/>
            <w:shd w:val="clear" w:color="auto" w:fill="auto"/>
            <w:vAlign w:val="center"/>
          </w:tcPr>
          <w:p w14:paraId="1FD7111F">
            <w:pPr>
              <w:widowControl/>
              <w:jc w:val="left"/>
              <w:rPr>
                <w:rFonts w:hint="eastAsia" w:ascii="仿宋" w:hAnsi="仿宋" w:eastAsia="仿宋" w:cs="宋体"/>
                <w:color w:val="auto"/>
                <w:kern w:val="0"/>
                <w:sz w:val="28"/>
                <w:szCs w:val="28"/>
                <w:highlight w:val="none"/>
                <w:lang w:eastAsia="zh"/>
              </w:rPr>
            </w:pPr>
            <w:r>
              <w:rPr>
                <w:rFonts w:hint="eastAsia" w:ascii="仿宋" w:hAnsi="仿宋" w:eastAsia="仿宋" w:cs="宋体"/>
                <w:color w:val="auto"/>
                <w:kern w:val="0"/>
                <w:sz w:val="28"/>
                <w:szCs w:val="28"/>
                <w:highlight w:val="none"/>
                <w:lang w:eastAsia="zh"/>
              </w:rPr>
              <w:t>阐述数据资产盘点方案，内容包括但不限于：元数据管理、定义数据资源、数据资源编目、分级分类等，并能够根据预设规则自动生成数据盘点报告及数据质量评价报告。</w:t>
            </w:r>
          </w:p>
        </w:tc>
      </w:tr>
      <w:tr w14:paraId="53C1D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1271" w:type="dxa"/>
            <w:vMerge w:val="continue"/>
            <w:shd w:val="clear" w:color="auto" w:fill="auto"/>
            <w:vAlign w:val="center"/>
          </w:tcPr>
          <w:p w14:paraId="7B945B35">
            <w:pPr>
              <w:widowControl/>
              <w:jc w:val="center"/>
              <w:rPr>
                <w:rFonts w:hint="eastAsia" w:ascii="仿宋" w:hAnsi="仿宋" w:eastAsia="仿宋" w:cs="宋体"/>
                <w:color w:val="auto"/>
                <w:kern w:val="0"/>
                <w:sz w:val="28"/>
                <w:szCs w:val="28"/>
                <w:highlight w:val="none"/>
              </w:rPr>
            </w:pPr>
          </w:p>
        </w:tc>
        <w:tc>
          <w:tcPr>
            <w:tcW w:w="1559" w:type="dxa"/>
            <w:shd w:val="clear" w:color="auto" w:fill="auto"/>
            <w:vAlign w:val="center"/>
          </w:tcPr>
          <w:p w14:paraId="5CA30047">
            <w:pPr>
              <w:widowControl/>
              <w:jc w:val="left"/>
              <w:rPr>
                <w:rFonts w:hint="eastAsia" w:ascii="仿宋" w:hAnsi="仿宋" w:eastAsia="仿宋" w:cs="宋体"/>
                <w:color w:val="auto"/>
                <w:kern w:val="0"/>
                <w:sz w:val="28"/>
                <w:szCs w:val="28"/>
                <w:highlight w:val="none"/>
                <w:lang w:eastAsia="zh"/>
              </w:rPr>
            </w:pPr>
            <w:r>
              <w:rPr>
                <w:rFonts w:hint="eastAsia" w:ascii="仿宋" w:hAnsi="仿宋" w:eastAsia="仿宋" w:cs="仿宋"/>
                <w:color w:val="auto"/>
                <w:sz w:val="28"/>
                <w:szCs w:val="28"/>
                <w:highlight w:val="none"/>
              </w:rPr>
              <w:t>数据资产登记</w:t>
            </w:r>
          </w:p>
        </w:tc>
        <w:tc>
          <w:tcPr>
            <w:tcW w:w="5529" w:type="dxa"/>
            <w:shd w:val="clear" w:color="auto" w:fill="auto"/>
            <w:vAlign w:val="center"/>
          </w:tcPr>
          <w:p w14:paraId="4AA36DA3">
            <w:pPr>
              <w:widowControl/>
              <w:rPr>
                <w:rFonts w:hint="eastAsia" w:ascii="仿宋" w:hAnsi="仿宋" w:eastAsia="仿宋" w:cs="宋体"/>
                <w:color w:val="auto"/>
                <w:kern w:val="0"/>
                <w:sz w:val="28"/>
                <w:szCs w:val="28"/>
                <w:highlight w:val="none"/>
                <w:lang w:eastAsia="zh"/>
              </w:rPr>
            </w:pPr>
            <w:r>
              <w:rPr>
                <w:rFonts w:hint="eastAsia" w:ascii="仿宋" w:hAnsi="仿宋" w:eastAsia="仿宋" w:cs="宋体"/>
                <w:color w:val="auto"/>
                <w:kern w:val="0"/>
                <w:sz w:val="28"/>
                <w:szCs w:val="28"/>
                <w:highlight w:val="none"/>
                <w:lang w:eastAsia="zh"/>
              </w:rPr>
              <w:t>阐述数据资产登记方案，内容包括但不限于：证书查询、登记公示、审核登记、服务方入驻等。登记完成后需将登记内容自动记录在区块链中，并自动生成数据登记证书。</w:t>
            </w:r>
          </w:p>
        </w:tc>
      </w:tr>
      <w:tr w14:paraId="4C4DD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1271" w:type="dxa"/>
            <w:vMerge w:val="continue"/>
            <w:shd w:val="clear" w:color="auto" w:fill="auto"/>
            <w:vAlign w:val="center"/>
          </w:tcPr>
          <w:p w14:paraId="1CC7EF43">
            <w:pPr>
              <w:widowControl/>
              <w:jc w:val="center"/>
              <w:rPr>
                <w:rFonts w:hint="eastAsia" w:ascii="仿宋" w:hAnsi="仿宋" w:eastAsia="仿宋" w:cs="宋体"/>
                <w:color w:val="auto"/>
                <w:kern w:val="0"/>
                <w:sz w:val="28"/>
                <w:szCs w:val="28"/>
                <w:highlight w:val="none"/>
              </w:rPr>
            </w:pPr>
          </w:p>
        </w:tc>
        <w:tc>
          <w:tcPr>
            <w:tcW w:w="1559" w:type="dxa"/>
            <w:shd w:val="clear" w:color="auto" w:fill="auto"/>
            <w:vAlign w:val="center"/>
          </w:tcPr>
          <w:p w14:paraId="07734E14">
            <w:pPr>
              <w:widowControl/>
              <w:jc w:val="left"/>
              <w:rPr>
                <w:rFonts w:hint="eastAsia" w:ascii="仿宋" w:hAnsi="仿宋" w:eastAsia="仿宋" w:cs="宋体"/>
                <w:color w:val="auto"/>
                <w:kern w:val="0"/>
                <w:sz w:val="28"/>
                <w:szCs w:val="28"/>
                <w:highlight w:val="none"/>
                <w:lang w:eastAsia="zh"/>
              </w:rPr>
            </w:pPr>
            <w:r>
              <w:rPr>
                <w:rFonts w:hint="eastAsia" w:ascii="仿宋" w:hAnsi="仿宋" w:eastAsia="仿宋" w:cs="宋体"/>
                <w:color w:val="auto"/>
                <w:kern w:val="0"/>
                <w:sz w:val="28"/>
                <w:szCs w:val="28"/>
                <w:highlight w:val="none"/>
                <w:lang w:eastAsia="zh"/>
              </w:rPr>
              <w:t>数据资产卡片管理</w:t>
            </w:r>
          </w:p>
        </w:tc>
        <w:tc>
          <w:tcPr>
            <w:tcW w:w="5529" w:type="dxa"/>
            <w:shd w:val="clear" w:color="auto" w:fill="auto"/>
            <w:vAlign w:val="center"/>
          </w:tcPr>
          <w:p w14:paraId="1C14048A">
            <w:pPr>
              <w:widowControl/>
              <w:jc w:val="left"/>
              <w:rPr>
                <w:rFonts w:hint="eastAsia" w:ascii="仿宋" w:hAnsi="仿宋" w:eastAsia="仿宋" w:cs="宋体"/>
                <w:color w:val="auto"/>
                <w:kern w:val="0"/>
                <w:sz w:val="28"/>
                <w:szCs w:val="28"/>
                <w:highlight w:val="none"/>
                <w:lang w:eastAsia="zh"/>
              </w:rPr>
            </w:pPr>
            <w:r>
              <w:rPr>
                <w:rFonts w:hint="eastAsia" w:ascii="仿宋" w:hAnsi="仿宋" w:eastAsia="仿宋" w:cs="宋体"/>
                <w:color w:val="auto"/>
                <w:kern w:val="0"/>
                <w:sz w:val="28"/>
                <w:szCs w:val="28"/>
                <w:highlight w:val="none"/>
                <w:lang w:eastAsia="zh"/>
              </w:rPr>
              <w:t>阐述数据资产卡片管理方案，并按照财政部预算一体化设计要求建立数据资产卡片，内容包括但不限于：账套体系、数据资产卡片入库、变动、使用、处置等全生命周期管理，并实现将卡片同至步至到福建省预算管理一体化系统资产模块。同步财政总预算会计中的项目来关联项目信息。</w:t>
            </w:r>
          </w:p>
        </w:tc>
      </w:tr>
      <w:tr w14:paraId="3B01A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1271" w:type="dxa"/>
            <w:vMerge w:val="continue"/>
            <w:shd w:val="clear" w:color="auto" w:fill="auto"/>
            <w:vAlign w:val="center"/>
          </w:tcPr>
          <w:p w14:paraId="297ECC4E">
            <w:pPr>
              <w:widowControl/>
              <w:jc w:val="center"/>
              <w:rPr>
                <w:rFonts w:hint="eastAsia" w:ascii="仿宋" w:hAnsi="仿宋" w:eastAsia="仿宋" w:cs="宋体"/>
                <w:color w:val="auto"/>
                <w:kern w:val="0"/>
                <w:sz w:val="28"/>
                <w:szCs w:val="28"/>
                <w:highlight w:val="none"/>
              </w:rPr>
            </w:pPr>
          </w:p>
        </w:tc>
        <w:tc>
          <w:tcPr>
            <w:tcW w:w="1559" w:type="dxa"/>
            <w:shd w:val="clear" w:color="auto" w:fill="auto"/>
            <w:vAlign w:val="center"/>
          </w:tcPr>
          <w:p w14:paraId="0FEA3D8A">
            <w:pPr>
              <w:widowControl/>
              <w:jc w:val="left"/>
              <w:rPr>
                <w:rFonts w:hint="eastAsia" w:ascii="仿宋" w:hAnsi="仿宋" w:eastAsia="仿宋" w:cs="仿宋"/>
                <w:color w:val="auto"/>
                <w:sz w:val="28"/>
                <w:szCs w:val="28"/>
                <w:highlight w:val="none"/>
                <w:lang w:eastAsia="zh"/>
              </w:rPr>
            </w:pPr>
            <w:r>
              <w:rPr>
                <w:rFonts w:hint="eastAsia" w:ascii="仿宋" w:hAnsi="仿宋" w:eastAsia="仿宋" w:cs="仿宋"/>
                <w:color w:val="auto"/>
                <w:sz w:val="28"/>
                <w:szCs w:val="28"/>
                <w:highlight w:val="none"/>
                <w:lang w:eastAsia="zh"/>
              </w:rPr>
              <w:t>数据</w:t>
            </w:r>
            <w:r>
              <w:rPr>
                <w:rFonts w:hint="eastAsia" w:ascii="仿宋" w:hAnsi="仿宋" w:eastAsia="仿宋" w:cs="仿宋"/>
                <w:color w:val="auto"/>
                <w:sz w:val="28"/>
                <w:szCs w:val="28"/>
                <w:highlight w:val="none"/>
              </w:rPr>
              <w:t>资产目录</w:t>
            </w:r>
            <w:r>
              <w:rPr>
                <w:rFonts w:hint="eastAsia" w:ascii="仿宋" w:hAnsi="仿宋" w:eastAsia="仿宋" w:cs="仿宋"/>
                <w:color w:val="auto"/>
                <w:sz w:val="28"/>
                <w:szCs w:val="28"/>
                <w:highlight w:val="none"/>
                <w:lang w:val="en-US" w:eastAsia="zh-CN"/>
              </w:rPr>
              <w:t>汇总</w:t>
            </w:r>
          </w:p>
        </w:tc>
        <w:tc>
          <w:tcPr>
            <w:tcW w:w="5529" w:type="dxa"/>
            <w:shd w:val="clear" w:color="auto" w:fill="auto"/>
            <w:vAlign w:val="center"/>
          </w:tcPr>
          <w:p w14:paraId="0B6059EE">
            <w:pPr>
              <w:widowControl/>
              <w:jc w:val="left"/>
              <w:rPr>
                <w:rFonts w:hint="eastAsia" w:ascii="仿宋" w:hAnsi="仿宋" w:eastAsia="仿宋" w:cs="宋体"/>
                <w:color w:val="auto"/>
                <w:kern w:val="0"/>
                <w:sz w:val="28"/>
                <w:szCs w:val="28"/>
                <w:highlight w:val="none"/>
                <w:lang w:eastAsia="zh"/>
              </w:rPr>
            </w:pPr>
            <w:r>
              <w:rPr>
                <w:rFonts w:hint="eastAsia" w:ascii="仿宋" w:hAnsi="仿宋" w:eastAsia="仿宋" w:cs="宋体"/>
                <w:color w:val="auto"/>
                <w:kern w:val="0"/>
                <w:sz w:val="28"/>
                <w:szCs w:val="28"/>
                <w:highlight w:val="none"/>
                <w:lang w:eastAsia="zh"/>
              </w:rPr>
              <w:t>阐述数据资产目录公示方案，内容包括但不限于：标准数据资产</w:t>
            </w:r>
            <w:r>
              <w:rPr>
                <w:rFonts w:hint="eastAsia" w:ascii="仿宋" w:hAnsi="仿宋" w:eastAsia="仿宋" w:cs="宋体"/>
                <w:color w:val="auto"/>
                <w:kern w:val="0"/>
                <w:sz w:val="28"/>
                <w:szCs w:val="28"/>
                <w:highlight w:val="none"/>
                <w:lang w:val="en-US" w:eastAsia="zh-CN"/>
              </w:rPr>
              <w:t>汇总</w:t>
            </w:r>
            <w:r>
              <w:rPr>
                <w:rFonts w:hint="eastAsia" w:ascii="仿宋" w:hAnsi="仿宋" w:eastAsia="仿宋" w:cs="宋体"/>
                <w:color w:val="auto"/>
                <w:kern w:val="0"/>
                <w:sz w:val="28"/>
                <w:szCs w:val="28"/>
                <w:highlight w:val="none"/>
                <w:lang w:eastAsia="zh"/>
              </w:rPr>
              <w:t>目录展示、关联数据产品展示和筛选、数据产品信息上下架管理、需求信息交流等功能。</w:t>
            </w:r>
          </w:p>
        </w:tc>
      </w:tr>
      <w:tr w14:paraId="46C7B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1271" w:type="dxa"/>
            <w:vMerge w:val="continue"/>
            <w:shd w:val="clear" w:color="auto" w:fill="auto"/>
            <w:vAlign w:val="center"/>
          </w:tcPr>
          <w:p w14:paraId="7AB2EB10">
            <w:pPr>
              <w:widowControl/>
              <w:jc w:val="center"/>
              <w:rPr>
                <w:rFonts w:hint="eastAsia" w:ascii="仿宋" w:hAnsi="仿宋" w:eastAsia="仿宋" w:cs="宋体"/>
                <w:color w:val="auto"/>
                <w:kern w:val="0"/>
                <w:sz w:val="28"/>
                <w:szCs w:val="28"/>
                <w:highlight w:val="none"/>
              </w:rPr>
            </w:pPr>
          </w:p>
        </w:tc>
        <w:tc>
          <w:tcPr>
            <w:tcW w:w="1559" w:type="dxa"/>
            <w:shd w:val="clear" w:color="auto" w:fill="auto"/>
            <w:vAlign w:val="center"/>
          </w:tcPr>
          <w:p w14:paraId="540FA901">
            <w:pPr>
              <w:widowControl/>
              <w:jc w:val="left"/>
              <w:rPr>
                <w:rFonts w:hint="eastAsia" w:ascii="仿宋" w:hAnsi="仿宋" w:eastAsia="仿宋" w:cs="宋体"/>
                <w:color w:val="auto"/>
                <w:kern w:val="0"/>
                <w:sz w:val="28"/>
                <w:szCs w:val="28"/>
                <w:highlight w:val="none"/>
              </w:rPr>
            </w:pPr>
            <w:r>
              <w:rPr>
                <w:rFonts w:hint="eastAsia" w:ascii="仿宋" w:hAnsi="仿宋" w:eastAsia="仿宋" w:cs="仿宋"/>
                <w:color w:val="auto"/>
                <w:sz w:val="28"/>
                <w:szCs w:val="28"/>
                <w:highlight w:val="none"/>
              </w:rPr>
              <w:t>数据</w:t>
            </w:r>
            <w:r>
              <w:rPr>
                <w:rFonts w:hint="eastAsia" w:ascii="仿宋" w:hAnsi="仿宋" w:eastAsia="仿宋" w:cs="宋体"/>
                <w:color w:val="auto"/>
                <w:kern w:val="0"/>
                <w:sz w:val="28"/>
                <w:szCs w:val="28"/>
                <w:highlight w:val="none"/>
              </w:rPr>
              <w:t>资产收益分配和清分</w:t>
            </w:r>
          </w:p>
        </w:tc>
        <w:tc>
          <w:tcPr>
            <w:tcW w:w="5529" w:type="dxa"/>
            <w:shd w:val="clear" w:color="auto" w:fill="auto"/>
            <w:vAlign w:val="center"/>
          </w:tcPr>
          <w:p w14:paraId="1933890B">
            <w:pPr>
              <w:widowControl/>
              <w:jc w:val="left"/>
              <w:rPr>
                <w:rFonts w:hint="eastAsia" w:ascii="仿宋" w:hAnsi="仿宋" w:eastAsia="仿宋" w:cs="宋体"/>
                <w:color w:val="auto"/>
                <w:kern w:val="0"/>
                <w:sz w:val="28"/>
                <w:szCs w:val="28"/>
                <w:highlight w:val="none"/>
                <w:lang w:eastAsia="zh"/>
              </w:rPr>
            </w:pPr>
            <w:r>
              <w:rPr>
                <w:rFonts w:hint="eastAsia" w:ascii="仿宋" w:hAnsi="仿宋" w:eastAsia="仿宋" w:cs="宋体"/>
                <w:color w:val="auto"/>
                <w:kern w:val="0"/>
                <w:sz w:val="28"/>
                <w:szCs w:val="28"/>
                <w:highlight w:val="none"/>
                <w:lang w:eastAsia="zh"/>
              </w:rPr>
              <w:t>阐述数据资产收益分配和清分方案，内容包括但不限于：查看账户流水、关联收益账单、生成清分账单、</w:t>
            </w:r>
            <w:r>
              <w:rPr>
                <w:rFonts w:hint="eastAsia" w:ascii="仿宋" w:hAnsi="仿宋" w:eastAsia="仿宋" w:cs="宋体"/>
                <w:color w:val="auto"/>
                <w:kern w:val="0"/>
                <w:sz w:val="28"/>
                <w:szCs w:val="28"/>
                <w:highlight w:val="none"/>
              </w:rPr>
              <w:t>资金对账</w:t>
            </w:r>
            <w:r>
              <w:rPr>
                <w:rFonts w:hint="eastAsia" w:ascii="仿宋" w:hAnsi="仿宋" w:eastAsia="仿宋" w:cs="宋体"/>
                <w:color w:val="auto"/>
                <w:kern w:val="0"/>
                <w:sz w:val="28"/>
                <w:szCs w:val="28"/>
                <w:highlight w:val="none"/>
                <w:lang w:eastAsia="zh"/>
              </w:rPr>
              <w:t>、台账记录，以及与福建省非税收入收缴和财政电子票据系统对接，实现数据资产非税收入缴交、</w:t>
            </w:r>
            <w:r>
              <w:rPr>
                <w:rFonts w:hint="eastAsia" w:ascii="仿宋" w:hAnsi="仿宋" w:eastAsia="仿宋" w:cs="宋体"/>
                <w:color w:val="auto"/>
                <w:kern w:val="0"/>
                <w:sz w:val="28"/>
                <w:szCs w:val="28"/>
                <w:highlight w:val="none"/>
              </w:rPr>
              <w:t>开具</w:t>
            </w:r>
            <w:r>
              <w:rPr>
                <w:rFonts w:hint="eastAsia" w:ascii="仿宋" w:hAnsi="仿宋" w:eastAsia="仿宋" w:cs="宋体"/>
                <w:color w:val="auto"/>
                <w:kern w:val="0"/>
                <w:sz w:val="28"/>
                <w:szCs w:val="28"/>
                <w:highlight w:val="none"/>
                <w:lang w:eastAsia="zh"/>
              </w:rPr>
              <w:t>非税</w:t>
            </w:r>
            <w:r>
              <w:rPr>
                <w:rFonts w:hint="eastAsia" w:ascii="仿宋" w:hAnsi="仿宋" w:eastAsia="仿宋" w:cs="宋体"/>
                <w:color w:val="auto"/>
                <w:kern w:val="0"/>
                <w:sz w:val="28"/>
                <w:szCs w:val="28"/>
                <w:highlight w:val="none"/>
              </w:rPr>
              <w:t>电子</w:t>
            </w:r>
            <w:r>
              <w:rPr>
                <w:rFonts w:hint="eastAsia" w:ascii="仿宋" w:hAnsi="仿宋" w:eastAsia="仿宋" w:cs="宋体"/>
                <w:color w:val="auto"/>
                <w:kern w:val="0"/>
                <w:sz w:val="28"/>
                <w:szCs w:val="28"/>
                <w:highlight w:val="none"/>
                <w:lang w:eastAsia="zh"/>
              </w:rPr>
              <w:t>票据和有偿使用收益清分</w:t>
            </w:r>
            <w:r>
              <w:rPr>
                <w:rFonts w:hint="eastAsia" w:ascii="仿宋" w:hAnsi="仿宋" w:eastAsia="仿宋" w:cs="宋体"/>
                <w:color w:val="auto"/>
                <w:kern w:val="0"/>
                <w:sz w:val="28"/>
                <w:szCs w:val="28"/>
                <w:highlight w:val="none"/>
              </w:rPr>
              <w:t>。</w:t>
            </w:r>
          </w:p>
        </w:tc>
      </w:tr>
      <w:tr w14:paraId="192B0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trPr>
        <w:tc>
          <w:tcPr>
            <w:tcW w:w="2830" w:type="dxa"/>
            <w:gridSpan w:val="2"/>
            <w:vAlign w:val="center"/>
          </w:tcPr>
          <w:p w14:paraId="3EC73EF9">
            <w:pPr>
              <w:widowControl/>
              <w:jc w:val="left"/>
              <w:rPr>
                <w:rFonts w:hint="eastAsia" w:ascii="仿宋" w:hAnsi="仿宋" w:eastAsia="仿宋" w:cs="仿宋"/>
                <w:color w:val="auto"/>
                <w:sz w:val="28"/>
                <w:szCs w:val="28"/>
                <w:highlight w:val="none"/>
              </w:rPr>
            </w:pPr>
            <w:r>
              <w:rPr>
                <w:rFonts w:hint="eastAsia" w:ascii="仿宋" w:hAnsi="仿宋" w:eastAsia="仿宋" w:cs="宋体"/>
                <w:color w:val="auto"/>
                <w:kern w:val="0"/>
                <w:sz w:val="28"/>
                <w:szCs w:val="28"/>
                <w:highlight w:val="none"/>
              </w:rPr>
              <w:t>安全设计</w:t>
            </w:r>
          </w:p>
        </w:tc>
        <w:tc>
          <w:tcPr>
            <w:tcW w:w="5529" w:type="dxa"/>
            <w:shd w:val="clear" w:color="auto" w:fill="auto"/>
            <w:vAlign w:val="center"/>
          </w:tcPr>
          <w:p w14:paraId="21B3D230">
            <w:pPr>
              <w:widowControl/>
              <w:jc w:val="left"/>
              <w:rPr>
                <w:rFonts w:hint="eastAsia" w:ascii="仿宋" w:hAnsi="仿宋" w:eastAsia="仿宋" w:cs="宋体"/>
                <w:color w:val="auto"/>
                <w:kern w:val="0"/>
                <w:sz w:val="28"/>
                <w:szCs w:val="28"/>
                <w:highlight w:val="none"/>
              </w:rPr>
            </w:pPr>
            <w:r>
              <w:rPr>
                <w:rFonts w:ascii="仿宋" w:hAnsi="仿宋" w:eastAsia="仿宋" w:cs="宋体"/>
                <w:color w:val="auto"/>
                <w:kern w:val="0"/>
                <w:sz w:val="28"/>
                <w:szCs w:val="28"/>
                <w:highlight w:val="none"/>
              </w:rPr>
              <w:t>阐述</w:t>
            </w:r>
            <w:r>
              <w:rPr>
                <w:rFonts w:hint="eastAsia" w:ascii="仿宋" w:hAnsi="仿宋" w:eastAsia="仿宋" w:cs="宋体"/>
                <w:color w:val="auto"/>
                <w:kern w:val="0"/>
                <w:sz w:val="28"/>
                <w:szCs w:val="28"/>
                <w:highlight w:val="none"/>
              </w:rPr>
              <w:t>本项目系统安全设计，包括不限于网络安全、数据安全、密码应用等。</w:t>
            </w:r>
          </w:p>
        </w:tc>
      </w:tr>
      <w:tr w14:paraId="3CE32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trPr>
        <w:tc>
          <w:tcPr>
            <w:tcW w:w="2830" w:type="dxa"/>
            <w:gridSpan w:val="2"/>
            <w:vAlign w:val="center"/>
          </w:tcPr>
          <w:p w14:paraId="119D1D6C">
            <w:pPr>
              <w:widowControl/>
              <w:jc w:val="left"/>
              <w:rPr>
                <w:rFonts w:hint="eastAsia"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信创要求</w:t>
            </w:r>
          </w:p>
        </w:tc>
        <w:tc>
          <w:tcPr>
            <w:tcW w:w="5529" w:type="dxa"/>
            <w:shd w:val="clear" w:color="auto" w:fill="auto"/>
            <w:vAlign w:val="center"/>
          </w:tcPr>
          <w:p w14:paraId="253AEA6E">
            <w:pPr>
              <w:widowControl/>
              <w:jc w:val="left"/>
              <w:rPr>
                <w:rFonts w:hint="eastAsia" w:ascii="仿宋" w:hAnsi="仿宋" w:eastAsia="仿宋" w:cs="宋体"/>
                <w:color w:val="auto"/>
                <w:kern w:val="0"/>
                <w:sz w:val="28"/>
                <w:szCs w:val="28"/>
                <w:highlight w:val="none"/>
                <w:lang w:eastAsia="zh"/>
              </w:rPr>
            </w:pPr>
            <w:r>
              <w:rPr>
                <w:rFonts w:hint="eastAsia" w:ascii="仿宋" w:hAnsi="仿宋" w:eastAsia="仿宋" w:cs="宋体"/>
                <w:color w:val="auto"/>
                <w:kern w:val="0"/>
                <w:sz w:val="28"/>
                <w:szCs w:val="28"/>
                <w:highlight w:val="none"/>
                <w:lang w:eastAsia="zh"/>
              </w:rPr>
              <w:t>阐述系统适配华为鲲鹏等信创环境，以及适配人大金仓或达梦等信创数据库。</w:t>
            </w:r>
          </w:p>
        </w:tc>
      </w:tr>
      <w:tr w14:paraId="6BC86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0" w:hRule="atLeast"/>
        </w:trPr>
        <w:tc>
          <w:tcPr>
            <w:tcW w:w="2830" w:type="dxa"/>
            <w:gridSpan w:val="2"/>
            <w:shd w:val="clear" w:color="auto" w:fill="auto"/>
            <w:vAlign w:val="center"/>
          </w:tcPr>
          <w:p w14:paraId="56E41EA1">
            <w:pPr>
              <w:widowControl/>
              <w:jc w:val="left"/>
              <w:rPr>
                <w:rFonts w:hint="eastAsia"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系统对接设计</w:t>
            </w:r>
          </w:p>
        </w:tc>
        <w:tc>
          <w:tcPr>
            <w:tcW w:w="5529" w:type="dxa"/>
            <w:shd w:val="clear" w:color="auto" w:fill="auto"/>
            <w:vAlign w:val="center"/>
          </w:tcPr>
          <w:p w14:paraId="6EAD013D">
            <w:pPr>
              <w:widowControl/>
              <w:jc w:val="left"/>
              <w:rPr>
                <w:rFonts w:hint="eastAsia" w:ascii="仿宋" w:hAnsi="仿宋" w:eastAsia="仿宋" w:cs="宋体"/>
                <w:color w:val="auto"/>
                <w:kern w:val="0"/>
                <w:sz w:val="28"/>
                <w:szCs w:val="28"/>
                <w:highlight w:val="none"/>
              </w:rPr>
            </w:pPr>
            <w:r>
              <w:rPr>
                <w:rFonts w:ascii="仿宋" w:hAnsi="仿宋" w:eastAsia="仿宋" w:cs="宋体"/>
                <w:color w:val="auto"/>
                <w:kern w:val="0"/>
                <w:sz w:val="28"/>
                <w:szCs w:val="28"/>
                <w:highlight w:val="none"/>
              </w:rPr>
              <w:t>阐述</w:t>
            </w:r>
            <w:r>
              <w:rPr>
                <w:rFonts w:hint="eastAsia" w:ascii="仿宋" w:hAnsi="仿宋" w:eastAsia="仿宋" w:cs="宋体"/>
                <w:color w:val="auto"/>
                <w:kern w:val="0"/>
                <w:sz w:val="28"/>
                <w:szCs w:val="28"/>
                <w:highlight w:val="none"/>
              </w:rPr>
              <w:t>本项目系统对接设计，包括不限于福建省预算管理一体化系统资产模块、用于数据资产登记的区块链平台、</w:t>
            </w:r>
            <w:r>
              <w:rPr>
                <w:rFonts w:hint="eastAsia" w:ascii="仿宋" w:hAnsi="仿宋" w:eastAsia="仿宋" w:cs="宋体"/>
                <w:color w:val="auto"/>
                <w:kern w:val="0"/>
                <w:sz w:val="28"/>
                <w:szCs w:val="28"/>
                <w:highlight w:val="none"/>
                <w:lang w:eastAsia="zh"/>
              </w:rPr>
              <w:t>福建省非税收入收缴和财政电子票据系统</w:t>
            </w:r>
            <w:r>
              <w:rPr>
                <w:rFonts w:hint="eastAsia" w:ascii="仿宋" w:hAnsi="仿宋" w:eastAsia="仿宋" w:cs="宋体"/>
                <w:color w:val="auto"/>
                <w:kern w:val="0"/>
                <w:sz w:val="28"/>
                <w:szCs w:val="28"/>
                <w:highlight w:val="none"/>
              </w:rPr>
              <w:t>等。</w:t>
            </w:r>
          </w:p>
        </w:tc>
      </w:tr>
      <w:tr w14:paraId="7E8B7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trPr>
        <w:tc>
          <w:tcPr>
            <w:tcW w:w="2830" w:type="dxa"/>
            <w:gridSpan w:val="2"/>
            <w:shd w:val="clear" w:color="auto" w:fill="auto"/>
            <w:vAlign w:val="center"/>
          </w:tcPr>
          <w:p w14:paraId="26C44874">
            <w:pPr>
              <w:widowControl/>
              <w:jc w:val="left"/>
              <w:rPr>
                <w:rFonts w:hint="eastAsia"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系统部署实施</w:t>
            </w:r>
          </w:p>
        </w:tc>
        <w:tc>
          <w:tcPr>
            <w:tcW w:w="5529" w:type="dxa"/>
            <w:shd w:val="clear" w:color="auto" w:fill="auto"/>
            <w:vAlign w:val="center"/>
          </w:tcPr>
          <w:p w14:paraId="531C44E2">
            <w:pPr>
              <w:widowControl/>
              <w:jc w:val="left"/>
              <w:rPr>
                <w:rFonts w:hint="eastAsia" w:ascii="仿宋" w:hAnsi="仿宋" w:eastAsia="仿宋" w:cs="宋体"/>
                <w:color w:val="auto"/>
                <w:kern w:val="0"/>
                <w:sz w:val="28"/>
                <w:szCs w:val="28"/>
                <w:highlight w:val="none"/>
              </w:rPr>
            </w:pPr>
            <w:r>
              <w:rPr>
                <w:rFonts w:ascii="仿宋" w:hAnsi="仿宋" w:eastAsia="仿宋" w:cs="宋体"/>
                <w:color w:val="auto"/>
                <w:kern w:val="0"/>
                <w:sz w:val="28"/>
                <w:szCs w:val="28"/>
                <w:highlight w:val="none"/>
              </w:rPr>
              <w:t>阐述</w:t>
            </w:r>
            <w:r>
              <w:rPr>
                <w:rFonts w:hint="eastAsia" w:ascii="仿宋" w:hAnsi="仿宋" w:eastAsia="仿宋" w:cs="宋体"/>
                <w:color w:val="auto"/>
                <w:kern w:val="0"/>
                <w:sz w:val="28"/>
                <w:szCs w:val="28"/>
                <w:highlight w:val="none"/>
              </w:rPr>
              <w:t>系统部署实施方案，并实现7天内部署上线。</w:t>
            </w:r>
          </w:p>
        </w:tc>
      </w:tr>
    </w:tbl>
    <w:p w14:paraId="287BFE49">
      <w:pPr>
        <w:jc w:val="left"/>
        <w:rPr>
          <w:rFonts w:hint="eastAsia" w:ascii="宋体" w:hAnsi="宋体" w:eastAsia="宋体"/>
          <w:color w:val="auto"/>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revisionView w:markup="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IyMjE0NDUxNTFjYTkyN2JmODA1NzBlOWY2YjU3YWEifQ=="/>
  </w:docVars>
  <w:rsids>
    <w:rsidRoot w:val="004939E4"/>
    <w:rsid w:val="000254D4"/>
    <w:rsid w:val="0009589D"/>
    <w:rsid w:val="001368CC"/>
    <w:rsid w:val="00202638"/>
    <w:rsid w:val="002065AA"/>
    <w:rsid w:val="002201DB"/>
    <w:rsid w:val="002654F3"/>
    <w:rsid w:val="00267E9D"/>
    <w:rsid w:val="002D48AF"/>
    <w:rsid w:val="002D6D19"/>
    <w:rsid w:val="00322715"/>
    <w:rsid w:val="00333D90"/>
    <w:rsid w:val="00373AC2"/>
    <w:rsid w:val="003C5A38"/>
    <w:rsid w:val="004661F7"/>
    <w:rsid w:val="004939E4"/>
    <w:rsid w:val="004A0288"/>
    <w:rsid w:val="004B2D05"/>
    <w:rsid w:val="004B3523"/>
    <w:rsid w:val="004D26AF"/>
    <w:rsid w:val="004D7F18"/>
    <w:rsid w:val="005145A5"/>
    <w:rsid w:val="00534378"/>
    <w:rsid w:val="00544065"/>
    <w:rsid w:val="005E48DF"/>
    <w:rsid w:val="005F3010"/>
    <w:rsid w:val="0064276A"/>
    <w:rsid w:val="0064497B"/>
    <w:rsid w:val="00675BF1"/>
    <w:rsid w:val="006871D5"/>
    <w:rsid w:val="0069636B"/>
    <w:rsid w:val="006C216D"/>
    <w:rsid w:val="006C6C80"/>
    <w:rsid w:val="00722465"/>
    <w:rsid w:val="00752CFD"/>
    <w:rsid w:val="00757B72"/>
    <w:rsid w:val="0076283B"/>
    <w:rsid w:val="007D5F01"/>
    <w:rsid w:val="007F472A"/>
    <w:rsid w:val="00812CA9"/>
    <w:rsid w:val="008230A5"/>
    <w:rsid w:val="00867AD3"/>
    <w:rsid w:val="00873D02"/>
    <w:rsid w:val="00873EB4"/>
    <w:rsid w:val="008C3ED9"/>
    <w:rsid w:val="008E1AA8"/>
    <w:rsid w:val="008F03D4"/>
    <w:rsid w:val="0093777D"/>
    <w:rsid w:val="0096218F"/>
    <w:rsid w:val="00973FE4"/>
    <w:rsid w:val="00984907"/>
    <w:rsid w:val="009B485C"/>
    <w:rsid w:val="009B5265"/>
    <w:rsid w:val="009C1568"/>
    <w:rsid w:val="009D3E8A"/>
    <w:rsid w:val="009F2255"/>
    <w:rsid w:val="00A20312"/>
    <w:rsid w:val="00A313B0"/>
    <w:rsid w:val="00A524A8"/>
    <w:rsid w:val="00A76E1C"/>
    <w:rsid w:val="00AD0280"/>
    <w:rsid w:val="00B23251"/>
    <w:rsid w:val="00B530DF"/>
    <w:rsid w:val="00BF72C6"/>
    <w:rsid w:val="00C11C31"/>
    <w:rsid w:val="00C1784A"/>
    <w:rsid w:val="00C67057"/>
    <w:rsid w:val="00CC761F"/>
    <w:rsid w:val="00CD26C3"/>
    <w:rsid w:val="00CE5A16"/>
    <w:rsid w:val="00CF4C17"/>
    <w:rsid w:val="00CF5276"/>
    <w:rsid w:val="00CF5E05"/>
    <w:rsid w:val="00D23393"/>
    <w:rsid w:val="00D355A3"/>
    <w:rsid w:val="00D51E27"/>
    <w:rsid w:val="00DC70EA"/>
    <w:rsid w:val="00DE29BC"/>
    <w:rsid w:val="00E63D35"/>
    <w:rsid w:val="00E93E84"/>
    <w:rsid w:val="00EA50FA"/>
    <w:rsid w:val="00ED3AE4"/>
    <w:rsid w:val="00EF5F25"/>
    <w:rsid w:val="00F317E7"/>
    <w:rsid w:val="00F51744"/>
    <w:rsid w:val="00F75000"/>
    <w:rsid w:val="00F92E09"/>
    <w:rsid w:val="00FC153F"/>
    <w:rsid w:val="00FC42D4"/>
    <w:rsid w:val="00FE2075"/>
    <w:rsid w:val="00FE5613"/>
    <w:rsid w:val="0F2FF1AD"/>
    <w:rsid w:val="14FDE65D"/>
    <w:rsid w:val="1E7DAC8B"/>
    <w:rsid w:val="1FFB8489"/>
    <w:rsid w:val="20D44858"/>
    <w:rsid w:val="21B92F64"/>
    <w:rsid w:val="2FDF6305"/>
    <w:rsid w:val="2FEE46DF"/>
    <w:rsid w:val="2FEF4DBE"/>
    <w:rsid w:val="33FC4D18"/>
    <w:rsid w:val="37FF791D"/>
    <w:rsid w:val="3B7CEE9A"/>
    <w:rsid w:val="3CFF0992"/>
    <w:rsid w:val="3E366889"/>
    <w:rsid w:val="3F87088B"/>
    <w:rsid w:val="3FDAAB73"/>
    <w:rsid w:val="3FEAB25E"/>
    <w:rsid w:val="3FEFD3A2"/>
    <w:rsid w:val="41CDE3A7"/>
    <w:rsid w:val="45A7ECB8"/>
    <w:rsid w:val="4B5A2569"/>
    <w:rsid w:val="4FFFA7DE"/>
    <w:rsid w:val="573D544B"/>
    <w:rsid w:val="5B77236D"/>
    <w:rsid w:val="5DFA6AB4"/>
    <w:rsid w:val="5EF5A3EE"/>
    <w:rsid w:val="5F95FE38"/>
    <w:rsid w:val="5FDA437A"/>
    <w:rsid w:val="5FDBF23E"/>
    <w:rsid w:val="5FE2F057"/>
    <w:rsid w:val="5FEFE276"/>
    <w:rsid w:val="67DB7113"/>
    <w:rsid w:val="6D7C0B94"/>
    <w:rsid w:val="6D7EF79B"/>
    <w:rsid w:val="6D931F7F"/>
    <w:rsid w:val="6DFF080E"/>
    <w:rsid w:val="6ECF1F71"/>
    <w:rsid w:val="6F4D95EF"/>
    <w:rsid w:val="6F4F8B97"/>
    <w:rsid w:val="6FBE9A45"/>
    <w:rsid w:val="6FD72D84"/>
    <w:rsid w:val="70FCF814"/>
    <w:rsid w:val="739FD989"/>
    <w:rsid w:val="757DEE28"/>
    <w:rsid w:val="75F9951E"/>
    <w:rsid w:val="77F5FEBE"/>
    <w:rsid w:val="7BFDA3DF"/>
    <w:rsid w:val="7CBF1F37"/>
    <w:rsid w:val="7CE77E25"/>
    <w:rsid w:val="7CF7C4D4"/>
    <w:rsid w:val="7D5FA6CD"/>
    <w:rsid w:val="7DFF3E6E"/>
    <w:rsid w:val="7ED77755"/>
    <w:rsid w:val="7EF31F47"/>
    <w:rsid w:val="7F3DC0FA"/>
    <w:rsid w:val="7F5F2C2B"/>
    <w:rsid w:val="7F794684"/>
    <w:rsid w:val="7F7C2FCD"/>
    <w:rsid w:val="7F9B9634"/>
    <w:rsid w:val="7FD73D24"/>
    <w:rsid w:val="7FDD0B78"/>
    <w:rsid w:val="7FF12BB3"/>
    <w:rsid w:val="7FFC2391"/>
    <w:rsid w:val="7FFED346"/>
    <w:rsid w:val="7FFEE6E9"/>
    <w:rsid w:val="7FFFE472"/>
    <w:rsid w:val="8FFFEE54"/>
    <w:rsid w:val="93371D12"/>
    <w:rsid w:val="97F01345"/>
    <w:rsid w:val="99B99F7D"/>
    <w:rsid w:val="9EFF5736"/>
    <w:rsid w:val="A55EB2E4"/>
    <w:rsid w:val="A71E92D6"/>
    <w:rsid w:val="ADC6AB64"/>
    <w:rsid w:val="ADE61ADA"/>
    <w:rsid w:val="AFB30E44"/>
    <w:rsid w:val="B73F6ECE"/>
    <w:rsid w:val="BAEE836D"/>
    <w:rsid w:val="BAFAB2F6"/>
    <w:rsid w:val="BB8389AB"/>
    <w:rsid w:val="BBBDF3A7"/>
    <w:rsid w:val="BBFFAE7D"/>
    <w:rsid w:val="BDFFA657"/>
    <w:rsid w:val="BEEF013F"/>
    <w:rsid w:val="BF8FAB77"/>
    <w:rsid w:val="BFFEEA4B"/>
    <w:rsid w:val="C4F7C0F5"/>
    <w:rsid w:val="D3F72E0D"/>
    <w:rsid w:val="D5BD9CF9"/>
    <w:rsid w:val="D6EF2D41"/>
    <w:rsid w:val="D7756957"/>
    <w:rsid w:val="D7F76F52"/>
    <w:rsid w:val="D8F59EC1"/>
    <w:rsid w:val="DBEF6DA9"/>
    <w:rsid w:val="DBF741F3"/>
    <w:rsid w:val="DD69717C"/>
    <w:rsid w:val="DDEB02AA"/>
    <w:rsid w:val="DFC3884C"/>
    <w:rsid w:val="DFC9F9DB"/>
    <w:rsid w:val="DFEE726D"/>
    <w:rsid w:val="E5FBB71C"/>
    <w:rsid w:val="EDBD5C96"/>
    <w:rsid w:val="EEBFEA73"/>
    <w:rsid w:val="EF3DE7D5"/>
    <w:rsid w:val="EFEF91EA"/>
    <w:rsid w:val="EFFEBDA7"/>
    <w:rsid w:val="F3FAC559"/>
    <w:rsid w:val="F575CB5B"/>
    <w:rsid w:val="F57F67BB"/>
    <w:rsid w:val="F74D404B"/>
    <w:rsid w:val="F7DE4B42"/>
    <w:rsid w:val="F7F70DA5"/>
    <w:rsid w:val="F7FED2E1"/>
    <w:rsid w:val="F7FFE78B"/>
    <w:rsid w:val="F8DF4C13"/>
    <w:rsid w:val="FA6F1AE9"/>
    <w:rsid w:val="FBF99CBE"/>
    <w:rsid w:val="FBFA2A85"/>
    <w:rsid w:val="FBFF5D19"/>
    <w:rsid w:val="FC7BF17B"/>
    <w:rsid w:val="FD5F3A0B"/>
    <w:rsid w:val="FD8E492E"/>
    <w:rsid w:val="FDB3A90F"/>
    <w:rsid w:val="FDFEB5C8"/>
    <w:rsid w:val="FE7B69EF"/>
    <w:rsid w:val="FF3F8C10"/>
    <w:rsid w:val="FF5B0260"/>
    <w:rsid w:val="FF8B89EA"/>
    <w:rsid w:val="FFDB967D"/>
    <w:rsid w:val="FFDD293C"/>
    <w:rsid w:val="FFDD69A3"/>
    <w:rsid w:val="FFDFC7E0"/>
    <w:rsid w:val="FFE57C71"/>
    <w:rsid w:val="FFEF4460"/>
    <w:rsid w:val="FFF9086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jc w:val="left"/>
    </w:pPr>
    <w:rPr>
      <w:rFonts w:ascii="Calibri" w:hAnsi="Calibri" w:eastAsia="宋体" w:cs="Times New Roman"/>
      <w:kern w:val="0"/>
      <w:sz w:val="24"/>
      <w:szCs w:val="24"/>
      <w14:ligatures w14:val="none"/>
    </w:rPr>
  </w:style>
  <w:style w:type="character" w:styleId="8">
    <w:name w:val="Strong"/>
    <w:basedOn w:val="7"/>
    <w:qFormat/>
    <w:uiPriority w:val="22"/>
    <w:rPr>
      <w:b/>
    </w:rPr>
  </w:style>
  <w:style w:type="character" w:customStyle="1" w:styleId="9">
    <w:name w:val="页眉 字符"/>
    <w:basedOn w:val="7"/>
    <w:link w:val="4"/>
    <w:qFormat/>
    <w:uiPriority w:val="99"/>
    <w:rPr>
      <w:sz w:val="18"/>
      <w:szCs w:val="18"/>
    </w:rPr>
  </w:style>
  <w:style w:type="character" w:customStyle="1" w:styleId="10">
    <w:name w:val="页脚 字符"/>
    <w:basedOn w:val="7"/>
    <w:link w:val="3"/>
    <w:qFormat/>
    <w:uiPriority w:val="99"/>
    <w:rPr>
      <w:sz w:val="18"/>
      <w:szCs w:val="18"/>
    </w:rPr>
  </w:style>
  <w:style w:type="paragraph" w:customStyle="1" w:styleId="11">
    <w:name w:val="文档正文"/>
    <w:basedOn w:val="1"/>
    <w:qFormat/>
    <w:uiPriority w:val="0"/>
    <w:pPr>
      <w:adjustRightInd w:val="0"/>
      <w:snapToGrid w:val="0"/>
      <w:spacing w:line="360" w:lineRule="auto"/>
      <w:ind w:left="561" w:firstLine="200" w:firstLineChars="200"/>
    </w:pPr>
    <w:rPr>
      <w:rFonts w:ascii="宋体" w:hAnsi="宋体" w:cs="Times New Roman"/>
      <w:sz w:val="24"/>
      <w14:ligatures w14:val="none"/>
    </w:rPr>
  </w:style>
  <w:style w:type="paragraph" w:customStyle="1" w:styleId="12">
    <w:name w:val="修订1"/>
    <w:hidden/>
    <w:unhideWhenUsed/>
    <w:qFormat/>
    <w:uiPriority w:val="99"/>
    <w:rPr>
      <w:rFonts w:asciiTheme="minorHAnsi" w:hAnsiTheme="minorHAnsi" w:eastAsiaTheme="minorEastAsia" w:cstheme="minorBidi"/>
      <w:kern w:val="2"/>
      <w:sz w:val="21"/>
      <w:szCs w:val="22"/>
      <w:lang w:val="en-US" w:eastAsia="zh-CN" w:bidi="ar-SA"/>
      <w14:ligatures w14:val="standardContextual"/>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2398</Words>
  <Characters>2409</Characters>
  <Lines>17</Lines>
  <Paragraphs>4</Paragraphs>
  <TotalTime>33</TotalTime>
  <ScaleCrop>false</ScaleCrop>
  <LinksUpToDate>false</LinksUpToDate>
  <CharactersWithSpaces>2410</CharactersWithSpaces>
  <Application>WPS Office_12.1.0.17468_F1E327BC-269C-435d-A152-05C5408002CA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2024-08-10T17:39:00Z</dcterms:created>
  <dc:creator>琳玲 陈</dc:creator>
  <cp:lastModifiedBy>陈小苏</cp:lastModifiedBy>
  <dcterms:modified xsi:type="dcterms:W3CDTF">2024-09-26T01:10:33Z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2052-12.1.0.17468</vt:lpwstr>
  </property>
  <property fmtid="{D5CDD505-2E9C-101B-9397-08002B2CF9AE}" pid="3" name="ICV">
    <vt:lpwstr>D7BB9FB85C5FB8A95712EC660AE5547E_43</vt:lpwstr>
  </property>
</Properties>
</file>