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w:t>
      </w:r>
      <w:r>
        <w:rPr>
          <w:rFonts w:hint="eastAsia" w:ascii="黑体" w:hAnsi="黑体" w:eastAsia="黑体" w:cs="黑体"/>
          <w:sz w:val="44"/>
          <w:szCs w:val="44"/>
          <w:highlight w:val="none"/>
          <w:lang w:eastAsia="zh-CN"/>
        </w:rPr>
        <w:t>数字化全面赋能专项工作支持政策</w:t>
      </w:r>
      <w:r>
        <w:rPr>
          <w:rFonts w:hint="eastAsia" w:ascii="黑体" w:hAnsi="黑体" w:eastAsia="黑体" w:cs="黑体"/>
          <w:sz w:val="44"/>
          <w:szCs w:val="4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2420" w:firstLineChars="550"/>
        <w:textAlignment w:val="auto"/>
        <w:rPr>
          <w:rFonts w:hint="eastAsia" w:ascii="楷体" w:hAnsi="楷体" w:eastAsia="楷体" w:cs="楷体"/>
          <w:sz w:val="44"/>
          <w:szCs w:val="44"/>
          <w:highlight w:val="none"/>
          <w:lang w:val="en-US" w:eastAsia="zh-CN"/>
        </w:rPr>
      </w:pPr>
      <w:r>
        <w:rPr>
          <w:rFonts w:hint="eastAsia" w:ascii="楷体" w:hAnsi="楷体" w:eastAsia="楷体" w:cs="楷体"/>
          <w:sz w:val="44"/>
          <w:szCs w:val="44"/>
          <w:highlight w:val="none"/>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ind w:firstLine="2640" w:firstLineChars="600"/>
        <w:textAlignment w:val="auto"/>
        <w:rPr>
          <w:rFonts w:hint="eastAsia" w:ascii="方正小标宋简体" w:hAnsi="方正小标宋简体" w:eastAsia="方正小标宋简体" w:cs="方正小标宋简体"/>
          <w:sz w:val="44"/>
          <w:highlight w:val="none"/>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16" w:firstLineChars="200"/>
        <w:jc w:val="both"/>
        <w:textAlignment w:val="auto"/>
        <w:rPr>
          <w:rFonts w:hint="eastAsia" w:ascii="方正黑体_GBK" w:hAnsi="方正黑体_GBK" w:eastAsia="方正黑体_GBK" w:cs="方正黑体_GBK"/>
          <w:b w:val="0"/>
          <w:bCs w:val="0"/>
          <w:spacing w:val="-6"/>
          <w:sz w:val="32"/>
          <w:szCs w:val="32"/>
          <w:highlight w:val="none"/>
          <w:lang w:val="en-US" w:eastAsia="zh-CN"/>
        </w:rPr>
      </w:pPr>
      <w:r>
        <w:rPr>
          <w:rFonts w:hint="eastAsia" w:ascii="方正黑体_GBK" w:hAnsi="方正黑体_GBK" w:eastAsia="方正黑体_GBK" w:cs="方正黑体_GBK"/>
          <w:b w:val="0"/>
          <w:bCs w:val="0"/>
          <w:spacing w:val="-6"/>
          <w:sz w:val="32"/>
          <w:szCs w:val="32"/>
          <w:highlight w:val="none"/>
          <w:lang w:val="en-US" w:eastAsia="zh-CN"/>
        </w:rPr>
        <w:t>数据要素领域</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19" w:firstLineChars="200"/>
        <w:jc w:val="both"/>
        <w:textAlignment w:val="auto"/>
        <w:rPr>
          <w:rFonts w:hint="eastAsia" w:ascii="楷体_GB2312" w:hAnsi="楷体_GB2312" w:eastAsia="楷体_GB2312" w:cs="楷体_GB2312"/>
          <w:b/>
          <w:bCs/>
          <w:spacing w:val="-6"/>
          <w:sz w:val="32"/>
          <w:szCs w:val="32"/>
          <w:highlight w:val="none"/>
          <w:lang w:val="en-US" w:eastAsia="zh-CN"/>
        </w:rPr>
      </w:pPr>
      <w:r>
        <w:rPr>
          <w:rFonts w:hint="eastAsia" w:ascii="楷体_GB2312" w:hAnsi="楷体_GB2312" w:eastAsia="楷体_GB2312" w:cs="楷体_GB2312"/>
          <w:b/>
          <w:bCs/>
          <w:spacing w:val="-6"/>
          <w:sz w:val="32"/>
          <w:szCs w:val="32"/>
          <w:highlight w:val="none"/>
          <w:lang w:val="en-US" w:eastAsia="zh-CN"/>
        </w:rPr>
        <w:t>（一）“数据要素×”大赛项目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1.支持条件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（1）依法设立的单位；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（2）当年度通过福州选送参加“数据要素×”大赛福建分赛并获奖。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2.奖励标准与方式</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highlight w:val="none"/>
          <w:lang w:val="en-US" w:eastAsia="zh-CN"/>
        </w:rPr>
        <w:t>（1）采用“免申即享”方式，对获得当年度“数据要素×”大赛福建分赛一、二、三等奖的单位，分别给予30万元、20万元、10万元一次性奖励，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并由牵头单</w:t>
      </w:r>
      <w:r>
        <w:rPr>
          <w:rFonts w:hint="eastAsia" w:ascii="仿宋_GB2312" w:hAnsi="仿宋_GB2312" w:eastAsia="仿宋_GB2312" w:cs="仿宋_GB2312"/>
          <w:color w:val="auto"/>
          <w:sz w:val="32"/>
          <w:szCs w:val="32"/>
          <w:highlight w:val="none"/>
          <w:lang w:val="en-US" w:eastAsia="zh-CN"/>
        </w:rPr>
        <w:t>位在项目团队内进行分配。</w:t>
      </w:r>
      <w:r>
        <w:rPr>
          <w:rFonts w:hint="eastAsia" w:ascii="仿宋_GB2312" w:hAnsi="仿宋_GB2312" w:eastAsia="仿宋_GB2312" w:cs="仿宋_GB2312"/>
          <w:color w:val="auto"/>
          <w:sz w:val="32"/>
          <w:szCs w:val="32"/>
          <w:highlight w:val="none"/>
        </w:rPr>
        <w:t>每年补贴名额</w:t>
      </w: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lang w:val="en-US" w:eastAsia="zh-CN"/>
        </w:rPr>
        <w:t>当年度“数据要素</w:t>
      </w:r>
      <w:r>
        <w:rPr>
          <w:rFonts w:hint="eastAsia" w:ascii="仿宋_GB2312" w:hAnsi="仿宋_GB2312" w:eastAsia="仿宋_GB2312" w:cs="仿宋_GB2312"/>
          <w:sz w:val="32"/>
          <w:szCs w:val="32"/>
          <w:highlight w:val="none"/>
          <w:lang w:val="en-US" w:eastAsia="zh-CN"/>
        </w:rPr>
        <w:t>×”大赛福建分赛比赛方案确定</w:t>
      </w:r>
      <w:r>
        <w:rPr>
          <w:rFonts w:hint="eastAsia" w:ascii="仿宋_GB2312" w:hAnsi="仿宋_GB2312" w:eastAsia="仿宋_GB2312" w:cs="仿宋_GB2312"/>
          <w:sz w:val="32"/>
          <w:szCs w:val="32"/>
          <w:highlight w:val="none"/>
        </w:rPr>
        <w:t>，补贴总额不超过</w:t>
      </w:r>
      <w:r>
        <w:rPr>
          <w:rFonts w:hint="eastAsia" w:ascii="仿宋_GB2312" w:hAnsi="仿宋_GB2312" w:eastAsia="仿宋_GB2312" w:cs="仿宋_GB2312"/>
          <w:sz w:val="32"/>
          <w:szCs w:val="32"/>
          <w:highlight w:val="none"/>
          <w:lang w:val="en-US" w:eastAsia="zh-CN"/>
        </w:rPr>
        <w:t>300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（2）采用“免申即享”方式，对获得当年度“数据要素×”大赛全国总决赛一、二、三等奖、优秀奖的单位（前提是获得省级一等奖），额外给予40万元、30万元、20万元、10万元一次性奖励，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并由牵头单位在项目团队内进行分配。</w:t>
      </w:r>
      <w:r>
        <w:rPr>
          <w:rFonts w:hint="eastAsia" w:ascii="仿宋_GB2312" w:hAnsi="仿宋_GB2312" w:eastAsia="仿宋_GB2312" w:cs="仿宋_GB2312"/>
          <w:sz w:val="32"/>
          <w:szCs w:val="32"/>
          <w:highlight w:val="none"/>
        </w:rPr>
        <w:t>每年补贴名额</w:t>
      </w:r>
      <w:r>
        <w:rPr>
          <w:rFonts w:hint="eastAsia" w:ascii="仿宋_GB2312" w:hAnsi="仿宋_GB2312" w:eastAsia="仿宋_GB2312" w:cs="仿宋_GB2312"/>
          <w:sz w:val="32"/>
          <w:szCs w:val="32"/>
          <w:highlight w:val="none"/>
          <w:lang w:eastAsia="zh-CN"/>
        </w:rPr>
        <w:t>根据</w:t>
      </w:r>
      <w:r>
        <w:rPr>
          <w:rFonts w:hint="eastAsia" w:ascii="仿宋_GB2312" w:hAnsi="仿宋_GB2312" w:eastAsia="仿宋_GB2312" w:cs="仿宋_GB2312"/>
          <w:sz w:val="32"/>
          <w:szCs w:val="32"/>
          <w:highlight w:val="none"/>
          <w:lang w:val="en-US" w:eastAsia="zh-CN"/>
        </w:rPr>
        <w:t>当年度“数据要素×”大赛全国总决赛获奖名单确定，</w:t>
      </w:r>
      <w:r>
        <w:rPr>
          <w:rFonts w:hint="eastAsia" w:ascii="仿宋_GB2312" w:hAnsi="仿宋_GB2312" w:eastAsia="仿宋_GB2312" w:cs="仿宋_GB2312"/>
          <w:sz w:val="32"/>
          <w:szCs w:val="32"/>
          <w:highlight w:val="none"/>
        </w:rPr>
        <w:t>补贴总额不超过</w:t>
      </w:r>
      <w:r>
        <w:rPr>
          <w:rFonts w:hint="eastAsia" w:ascii="仿宋_GB2312" w:hAnsi="仿宋_GB2312" w:eastAsia="仿宋_GB2312" w:cs="仿宋_GB2312"/>
          <w:sz w:val="32"/>
          <w:szCs w:val="32"/>
          <w:highlight w:val="none"/>
          <w:lang w:val="en-US" w:eastAsia="zh-CN"/>
        </w:rPr>
        <w:t>300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（3）此项奖励不对</w:t>
      </w:r>
      <w:r>
        <w:rPr>
          <w:rFonts w:hint="eastAsia" w:ascii="仿宋_GB2312" w:hAnsi="仿宋_GB2312" w:eastAsia="仿宋_GB2312" w:cs="仿宋_GB2312"/>
          <w:sz w:val="32"/>
          <w:szCs w:val="32"/>
          <w:highlight w:val="none"/>
          <w:lang w:val="en-US" w:eastAsia="zh-CN"/>
        </w:rPr>
        <w:t>行政机关单位和全额拨款的事业单位发放。</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19" w:firstLineChars="200"/>
        <w:jc w:val="both"/>
        <w:textAlignment w:val="auto"/>
        <w:rPr>
          <w:rFonts w:hint="eastAsia" w:ascii="楷体_GB2312" w:hAnsi="楷体_GB2312" w:eastAsia="楷体_GB2312" w:cs="楷体_GB2312"/>
          <w:b/>
          <w:bCs/>
          <w:spacing w:val="-6"/>
          <w:sz w:val="32"/>
          <w:szCs w:val="32"/>
          <w:highlight w:val="none"/>
          <w:lang w:val="en-US" w:eastAsia="zh-CN"/>
        </w:rPr>
      </w:pPr>
      <w:r>
        <w:rPr>
          <w:rFonts w:hint="eastAsia" w:ascii="楷体_GB2312" w:hAnsi="楷体_GB2312" w:eastAsia="楷体_GB2312" w:cs="楷体_GB2312"/>
          <w:b/>
          <w:bCs/>
          <w:spacing w:val="-6"/>
          <w:sz w:val="32"/>
          <w:szCs w:val="32"/>
          <w:highlight w:val="none"/>
          <w:lang w:val="en-US" w:eastAsia="zh-CN"/>
        </w:rPr>
        <w:t>（二）数据要素赋能产业发展项目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1.支持条件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（1）依法设立的单位；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（2）当年度获得国家部委正式发文认定作为数据要素类全国典型案例的单位。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2.奖励标准与方式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（1）对获得认定的单位给予资金补贴奖励。</w:t>
      </w:r>
      <w:r>
        <w:rPr>
          <w:rFonts w:hint="eastAsia" w:ascii="仿宋_GB2312" w:hAnsi="仿宋_GB2312" w:eastAsia="仿宋_GB2312" w:cs="仿宋_GB2312"/>
          <w:sz w:val="32"/>
          <w:szCs w:val="32"/>
          <w:highlight w:val="none"/>
        </w:rPr>
        <w:t>每年补贴总额不超过</w:t>
      </w:r>
      <w:r>
        <w:rPr>
          <w:rFonts w:hint="eastAsia" w:ascii="仿宋_GB2312" w:hAnsi="仿宋_GB2312" w:eastAsia="仿宋_GB2312" w:cs="仿宋_GB2312"/>
          <w:sz w:val="32"/>
          <w:szCs w:val="32"/>
          <w:highlight w:val="none"/>
          <w:lang w:val="en-US" w:eastAsia="zh-CN"/>
        </w:rPr>
        <w:t>120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，每家单位补贴奖励金额不超过</w:t>
      </w:r>
      <w:r>
        <w:rPr>
          <w:rFonts w:hint="eastAsia" w:ascii="仿宋_GB2312" w:hAnsi="仿宋_GB2312" w:eastAsia="仿宋_GB2312" w:cs="仿宋_GB2312"/>
          <w:sz w:val="32"/>
          <w:szCs w:val="32"/>
          <w:highlight w:val="none"/>
          <w:lang w:val="en-US" w:eastAsia="zh-CN"/>
        </w:rPr>
        <w:t>30万元。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此项奖励不对</w:t>
      </w:r>
      <w:r>
        <w:rPr>
          <w:rFonts w:hint="eastAsia" w:ascii="仿宋_GB2312" w:hAnsi="仿宋_GB2312" w:eastAsia="仿宋_GB2312" w:cs="仿宋_GB2312"/>
          <w:sz w:val="32"/>
          <w:szCs w:val="32"/>
          <w:highlight w:val="none"/>
          <w:lang w:val="en-US" w:eastAsia="zh-CN"/>
        </w:rPr>
        <w:t>行政机关单位和全额拨款的事业单位发放。</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16" w:firstLineChars="200"/>
        <w:textAlignment w:val="auto"/>
        <w:rPr>
          <w:rFonts w:hint="eastAsia" w:ascii="方正黑体_GBK" w:hAnsi="方正黑体_GBK" w:eastAsia="方正黑体_GBK" w:cs="方正黑体_GBK"/>
          <w:spacing w:val="-6"/>
          <w:sz w:val="32"/>
          <w:szCs w:val="32"/>
          <w:highlight w:val="none"/>
          <w:lang w:val="en-US" w:eastAsia="zh-CN"/>
        </w:rPr>
      </w:pPr>
      <w:r>
        <w:rPr>
          <w:rFonts w:hint="eastAsia" w:ascii="方正黑体_GBK" w:hAnsi="方正黑体_GBK" w:eastAsia="方正黑体_GBK" w:cs="方正黑体_GBK"/>
          <w:spacing w:val="-6"/>
          <w:sz w:val="32"/>
          <w:szCs w:val="32"/>
          <w:highlight w:val="none"/>
          <w:lang w:val="en-US" w:eastAsia="zh-CN"/>
        </w:rPr>
        <w:t>二、数字经济领域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（一）数字经济核心产业市场主体培育项目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1.支持条件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首次入选省数字经济核心产业“独角兽”“未来独角兽”“瞪羚”的创新企业、已入选上述称号后实现等级晋升的相关企业；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2.奖励标准和方式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用“免申即享”方式，对符合上述支持条件的企业给予对应奖励：首次入选省数字经济核心产业“独角兽”“未来独角兽”“瞪羚”的创新企业，分别给予最高不超过50万元、20万元、10万元的一次性奖励。对实现称号晋级的企业，给予补差奖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（二）数字经济产业集聚提质项目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default" w:ascii="仿宋_GB2312" w:hAnsi="仿宋_GB2312" w:eastAsia="仿宋_GB2312" w:cs="仿宋_GB2312"/>
          <w:b/>
          <w:bCs/>
          <w:sz w:val="32"/>
          <w:szCs w:val="32"/>
          <w:highlight w:val="none"/>
          <w:lang w:val="en-US" w:eastAsia="zh-CN"/>
        </w:rPr>
        <w:t>支持条件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数字经济</w:t>
      </w:r>
      <w:r>
        <w:rPr>
          <w:rFonts w:hint="eastAsia" w:ascii="仿宋_GB2312" w:hAnsi="仿宋_GB2312" w:eastAsia="仿宋_GB2312" w:cs="仿宋_GB2312"/>
          <w:sz w:val="32"/>
          <w:szCs w:val="32"/>
          <w:highlight w:val="none"/>
          <w:lang w:val="en-US" w:eastAsia="zh-CN"/>
        </w:rPr>
        <w:t>相关</w:t>
      </w:r>
      <w:r>
        <w:rPr>
          <w:rFonts w:hint="default"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（2）当年度</w:t>
      </w:r>
      <w:r>
        <w:rPr>
          <w:rFonts w:hint="default" w:ascii="仿宋_GB2312" w:hAnsi="仿宋_GB2312" w:eastAsia="仿宋_GB2312" w:cs="仿宋_GB2312"/>
          <w:sz w:val="32"/>
          <w:szCs w:val="32"/>
          <w:highlight w:val="none"/>
          <w:lang w:val="en-US" w:eastAsia="zh-CN"/>
        </w:rPr>
        <w:t>首次获评国家数字产业集群的数字经济</w:t>
      </w:r>
      <w:r>
        <w:rPr>
          <w:rFonts w:hint="eastAsia" w:ascii="仿宋_GB2312" w:hAnsi="仿宋_GB2312" w:eastAsia="仿宋_GB2312" w:cs="仿宋_GB2312"/>
          <w:sz w:val="32"/>
          <w:szCs w:val="32"/>
          <w:highlight w:val="none"/>
          <w:lang w:val="en-US" w:eastAsia="zh-CN"/>
        </w:rPr>
        <w:t>相关</w:t>
      </w:r>
      <w:r>
        <w:rPr>
          <w:rFonts w:hint="default"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当年度通过省级数字经济核心产业集聚区评估的数字经济牵头部门。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w:t>
      </w:r>
      <w:r>
        <w:rPr>
          <w:rFonts w:hint="default" w:ascii="仿宋_GB2312" w:hAnsi="仿宋_GB2312" w:eastAsia="仿宋_GB2312" w:cs="仿宋_GB2312"/>
          <w:b/>
          <w:bCs/>
          <w:sz w:val="32"/>
          <w:szCs w:val="32"/>
          <w:highlight w:val="none"/>
          <w:lang w:val="en-US" w:eastAsia="zh-CN"/>
        </w:rPr>
        <w:t>奖励标准和方式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采用“免申即享”方式，</w:t>
      </w:r>
      <w:r>
        <w:rPr>
          <w:rFonts w:hint="default" w:ascii="仿宋_GB2312" w:hAnsi="仿宋_GB2312" w:eastAsia="仿宋_GB2312" w:cs="仿宋_GB2312"/>
          <w:sz w:val="32"/>
          <w:szCs w:val="32"/>
          <w:highlight w:val="none"/>
          <w:lang w:val="en-US" w:eastAsia="zh-CN"/>
        </w:rPr>
        <w:t>对符合上述支持条件的数字经济牵头部门给予对应奖励：首次获评国家数字产业集群的，给予30万元</w:t>
      </w:r>
      <w:r>
        <w:rPr>
          <w:rFonts w:hint="eastAsia" w:ascii="仿宋_GB2312" w:hAnsi="仿宋_GB2312" w:eastAsia="仿宋_GB2312" w:cs="仿宋_GB2312"/>
          <w:sz w:val="32"/>
          <w:szCs w:val="32"/>
          <w:highlight w:val="none"/>
          <w:lang w:val="en-US" w:eastAsia="zh-CN"/>
        </w:rPr>
        <w:t>一次性</w:t>
      </w:r>
      <w:r>
        <w:rPr>
          <w:rFonts w:hint="default" w:ascii="仿宋_GB2312" w:hAnsi="仿宋_GB2312" w:eastAsia="仿宋_GB2312" w:cs="仿宋_GB2312"/>
          <w:sz w:val="32"/>
          <w:szCs w:val="32"/>
          <w:highlight w:val="none"/>
          <w:lang w:val="en-US" w:eastAsia="zh-CN"/>
        </w:rPr>
        <w:t>奖励；</w:t>
      </w:r>
      <w:r>
        <w:rPr>
          <w:rFonts w:hint="eastAsia" w:ascii="仿宋_GB2312" w:hAnsi="仿宋_GB2312" w:eastAsia="仿宋_GB2312" w:cs="仿宋_GB2312"/>
          <w:sz w:val="32"/>
          <w:szCs w:val="32"/>
          <w:highlight w:val="none"/>
          <w:lang w:val="en-US" w:eastAsia="zh-CN"/>
        </w:rPr>
        <w:t>当年度</w:t>
      </w:r>
      <w:r>
        <w:rPr>
          <w:rFonts w:hint="default" w:ascii="仿宋_GB2312" w:hAnsi="仿宋_GB2312" w:eastAsia="仿宋_GB2312" w:cs="仿宋_GB2312"/>
          <w:sz w:val="32"/>
          <w:szCs w:val="32"/>
          <w:highlight w:val="none"/>
          <w:lang w:val="en-US" w:eastAsia="zh-CN"/>
        </w:rPr>
        <w:t>通过省级数字经济核心产业集聚区评估的，给予20万元</w:t>
      </w:r>
      <w:r>
        <w:rPr>
          <w:rFonts w:hint="eastAsia" w:ascii="仿宋_GB2312" w:hAnsi="仿宋_GB2312" w:eastAsia="仿宋_GB2312" w:cs="仿宋_GB2312"/>
          <w:sz w:val="32"/>
          <w:szCs w:val="32"/>
          <w:highlight w:val="none"/>
          <w:lang w:val="en-US" w:eastAsia="zh-CN"/>
        </w:rPr>
        <w:t>一次性</w:t>
      </w:r>
      <w:r>
        <w:rPr>
          <w:rFonts w:hint="default" w:ascii="仿宋_GB2312" w:hAnsi="仿宋_GB2312" w:eastAsia="仿宋_GB2312" w:cs="仿宋_GB2312"/>
          <w:sz w:val="32"/>
          <w:szCs w:val="32"/>
          <w:highlight w:val="none"/>
          <w:lang w:val="en-US" w:eastAsia="zh-CN"/>
        </w:rPr>
        <w:t>奖励。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（三）数据要素高效赋能激励项目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default" w:ascii="仿宋_GB2312" w:hAnsi="仿宋_GB2312" w:eastAsia="仿宋_GB2312" w:cs="仿宋_GB2312"/>
          <w:b/>
          <w:bCs/>
          <w:sz w:val="32"/>
          <w:szCs w:val="32"/>
          <w:highlight w:val="none"/>
          <w:lang w:val="en-US" w:eastAsia="zh-CN"/>
        </w:rPr>
        <w:t>支持条件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当年</w:t>
      </w:r>
      <w:r>
        <w:rPr>
          <w:rFonts w:hint="eastAsia" w:ascii="仿宋_GB2312" w:hAnsi="仿宋_GB2312" w:eastAsia="仿宋_GB2312" w:cs="仿宋_GB2312"/>
          <w:sz w:val="32"/>
          <w:szCs w:val="32"/>
          <w:highlight w:val="none"/>
          <w:lang w:val="en-US" w:eastAsia="zh-CN"/>
        </w:rPr>
        <w:t>度各县（市）区</w:t>
      </w:r>
      <w:r>
        <w:rPr>
          <w:rFonts w:hint="default" w:ascii="仿宋_GB2312" w:hAnsi="仿宋_GB2312" w:eastAsia="仿宋_GB2312" w:cs="仿宋_GB2312"/>
          <w:sz w:val="32"/>
          <w:szCs w:val="32"/>
          <w:highlight w:val="none"/>
          <w:lang w:val="en-US" w:eastAsia="zh-CN"/>
        </w:rPr>
        <w:t>入选福建省数据企业培育库数目</w:t>
      </w:r>
      <w:r>
        <w:rPr>
          <w:rFonts w:hint="eastAsia" w:ascii="仿宋_GB2312" w:hAnsi="仿宋_GB2312" w:eastAsia="仿宋_GB2312" w:cs="仿宋_GB2312"/>
          <w:sz w:val="32"/>
          <w:szCs w:val="32"/>
          <w:highlight w:val="none"/>
          <w:lang w:val="en-US" w:eastAsia="zh-CN"/>
        </w:rPr>
        <w:t>排名全市前三</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w:t>
      </w:r>
      <w:r>
        <w:rPr>
          <w:rFonts w:hint="default" w:ascii="仿宋_GB2312" w:hAnsi="仿宋_GB2312" w:eastAsia="仿宋_GB2312" w:cs="仿宋_GB2312"/>
          <w:b/>
          <w:bCs/>
          <w:sz w:val="32"/>
          <w:szCs w:val="32"/>
          <w:highlight w:val="none"/>
          <w:lang w:val="en-US" w:eastAsia="zh-CN"/>
        </w:rPr>
        <w:t>奖励标准和方式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采用“免申即享”方式，</w:t>
      </w:r>
      <w:r>
        <w:rPr>
          <w:rFonts w:hint="default" w:ascii="仿宋_GB2312" w:hAnsi="仿宋_GB2312" w:eastAsia="仿宋_GB2312" w:cs="仿宋_GB2312"/>
          <w:sz w:val="32"/>
          <w:szCs w:val="32"/>
          <w:highlight w:val="none"/>
          <w:lang w:val="en-US" w:eastAsia="zh-CN"/>
        </w:rPr>
        <w:t>按排名给予奖励：第一名10万元、第二名8万元、第三名5万元</w:t>
      </w:r>
      <w:r>
        <w:rPr>
          <w:rFonts w:hint="eastAsia" w:ascii="仿宋_GB2312" w:hAnsi="仿宋_GB2312" w:eastAsia="仿宋_GB2312" w:cs="仿宋_GB2312"/>
          <w:sz w:val="32"/>
          <w:szCs w:val="32"/>
          <w:highlight w:val="none"/>
        </w:rPr>
        <w:t>，补贴总额</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万元。</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16" w:firstLineChars="200"/>
        <w:textAlignment w:val="auto"/>
        <w:rPr>
          <w:rFonts w:hint="eastAsia" w:ascii="方正黑体_GBK" w:hAnsi="方正黑体_GBK" w:eastAsia="方正黑体_GBK" w:cs="方正黑体_GBK"/>
          <w:spacing w:val="-6"/>
          <w:sz w:val="32"/>
          <w:szCs w:val="32"/>
          <w:highlight w:val="none"/>
          <w:lang w:val="en-US" w:eastAsia="zh-CN"/>
        </w:rPr>
      </w:pPr>
      <w:r>
        <w:rPr>
          <w:rFonts w:hint="eastAsia" w:ascii="方正黑体_GBK" w:hAnsi="方正黑体_GBK" w:eastAsia="方正黑体_GBK" w:cs="方正黑体_GBK"/>
          <w:spacing w:val="-6"/>
          <w:sz w:val="32"/>
          <w:szCs w:val="32"/>
          <w:highlight w:val="none"/>
          <w:lang w:val="en-US" w:eastAsia="zh-CN"/>
        </w:rPr>
        <w:t>三、数字技术应用领域</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（一）数字技术应用场景落地实践项目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default" w:ascii="仿宋_GB2312" w:hAnsi="仿宋_GB2312" w:eastAsia="仿宋_GB2312" w:cs="仿宋_GB2312"/>
          <w:b/>
          <w:bCs/>
          <w:sz w:val="32"/>
          <w:szCs w:val="32"/>
          <w:highlight w:val="none"/>
          <w:lang w:val="en-US" w:eastAsia="zh-CN"/>
        </w:rPr>
        <w:t>支持条件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（1）各县（市）区；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（2）新增</w:t>
      </w:r>
      <w:r>
        <w:rPr>
          <w:rFonts w:hint="default" w:ascii="仿宋_GB2312" w:hAnsi="仿宋_GB2312" w:eastAsia="仿宋_GB2312" w:cs="仿宋_GB2312"/>
          <w:sz w:val="32"/>
          <w:szCs w:val="32"/>
          <w:highlight w:val="none"/>
          <w:lang w:val="en-US" w:eastAsia="zh-CN"/>
        </w:rPr>
        <w:t>入选数字中国建设峰会数字应用场景体验点</w:t>
      </w:r>
      <w:r>
        <w:rPr>
          <w:rFonts w:hint="eastAsia" w:ascii="仿宋_GB2312" w:hAnsi="仿宋_GB2312" w:eastAsia="仿宋_GB2312" w:cs="仿宋_GB2312"/>
          <w:sz w:val="32"/>
          <w:szCs w:val="32"/>
          <w:highlight w:val="none"/>
          <w:lang w:val="en-US" w:eastAsia="zh-CN"/>
        </w:rPr>
        <w:t>、可长期开放的</w:t>
      </w:r>
      <w:r>
        <w:rPr>
          <w:rFonts w:hint="default" w:ascii="仿宋_GB2312" w:hAnsi="仿宋_GB2312" w:eastAsia="仿宋_GB2312" w:cs="仿宋_GB2312"/>
          <w:sz w:val="32"/>
          <w:szCs w:val="32"/>
          <w:highlight w:val="none"/>
          <w:lang w:val="en-US" w:eastAsia="zh-CN"/>
        </w:rPr>
        <w:t>数字应用场景项目。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w:t>
      </w:r>
      <w:r>
        <w:rPr>
          <w:rFonts w:hint="default" w:ascii="仿宋_GB2312" w:hAnsi="仿宋_GB2312" w:eastAsia="仿宋_GB2312" w:cs="仿宋_GB2312"/>
          <w:b/>
          <w:bCs/>
          <w:sz w:val="32"/>
          <w:szCs w:val="32"/>
          <w:highlight w:val="none"/>
          <w:lang w:val="en-US" w:eastAsia="zh-CN"/>
        </w:rPr>
        <w:t>奖励标准和方式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由各县（市）区统一申报，</w:t>
      </w:r>
      <w:r>
        <w:rPr>
          <w:rFonts w:hint="eastAsia" w:ascii="仿宋_GB2312" w:hAnsi="仿宋_GB2312" w:eastAsia="仿宋_GB2312" w:cs="仿宋_GB2312"/>
          <w:sz w:val="32"/>
          <w:szCs w:val="32"/>
          <w:highlight w:val="none"/>
        </w:rPr>
        <w:t>对符合条件的每个新增数字应用场景项目，给予10万元</w:t>
      </w:r>
      <w:r>
        <w:rPr>
          <w:rFonts w:hint="eastAsia" w:ascii="仿宋_GB2312" w:hAnsi="仿宋_GB2312" w:eastAsia="仿宋_GB2312" w:cs="仿宋_GB2312"/>
          <w:sz w:val="32"/>
          <w:szCs w:val="32"/>
          <w:highlight w:val="none"/>
          <w:lang w:eastAsia="zh-CN"/>
        </w:rPr>
        <w:t>一次性</w:t>
      </w:r>
      <w:r>
        <w:rPr>
          <w:rFonts w:hint="eastAsia" w:ascii="仿宋_GB2312" w:hAnsi="仿宋_GB2312" w:eastAsia="仿宋_GB2312" w:cs="仿宋_GB2312"/>
          <w:sz w:val="32"/>
          <w:szCs w:val="32"/>
          <w:highlight w:val="none"/>
        </w:rPr>
        <w:t>奖励。</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（二）数字技术应用场景申报对接项目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default" w:ascii="仿宋_GB2312" w:hAnsi="仿宋_GB2312" w:eastAsia="仿宋_GB2312" w:cs="仿宋_GB2312"/>
          <w:b/>
          <w:bCs/>
          <w:sz w:val="32"/>
          <w:szCs w:val="32"/>
          <w:highlight w:val="none"/>
          <w:lang w:val="en-US" w:eastAsia="zh-CN"/>
        </w:rPr>
        <w:t>支持条件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（1）各县（市）区；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入选省数据管理局“福建省数字技术应用场景优秀案例”。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w:t>
      </w:r>
      <w:r>
        <w:rPr>
          <w:rFonts w:hint="default" w:ascii="仿宋_GB2312" w:hAnsi="仿宋_GB2312" w:eastAsia="仿宋_GB2312" w:cs="仿宋_GB2312"/>
          <w:b/>
          <w:bCs/>
          <w:sz w:val="32"/>
          <w:szCs w:val="32"/>
          <w:highlight w:val="none"/>
          <w:lang w:val="en-US" w:eastAsia="zh-CN"/>
        </w:rPr>
        <w:t>奖励标准和方式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由各县（市）区统一申报，</w:t>
      </w:r>
      <w:r>
        <w:rPr>
          <w:rFonts w:hint="default" w:ascii="仿宋_GB2312" w:hAnsi="仿宋_GB2312" w:eastAsia="仿宋_GB2312" w:cs="仿宋_GB2312"/>
          <w:sz w:val="32"/>
          <w:szCs w:val="32"/>
          <w:highlight w:val="none"/>
          <w:lang w:val="en-US" w:eastAsia="zh-CN"/>
        </w:rPr>
        <w:t>对符合条件的项目每个给予10万元</w:t>
      </w:r>
      <w:r>
        <w:rPr>
          <w:rFonts w:hint="eastAsia" w:ascii="仿宋_GB2312" w:hAnsi="仿宋_GB2312" w:eastAsia="仿宋_GB2312" w:cs="仿宋_GB2312"/>
          <w:sz w:val="32"/>
          <w:szCs w:val="32"/>
          <w:highlight w:val="none"/>
          <w:lang w:val="en-US" w:eastAsia="zh-CN"/>
        </w:rPr>
        <w:t>一次性</w:t>
      </w:r>
      <w:r>
        <w:rPr>
          <w:rFonts w:hint="default" w:ascii="仿宋_GB2312" w:hAnsi="仿宋_GB2312" w:eastAsia="仿宋_GB2312" w:cs="仿宋_GB2312"/>
          <w:sz w:val="32"/>
          <w:szCs w:val="32"/>
          <w:highlight w:val="none"/>
          <w:lang w:val="en-US" w:eastAsia="zh-CN"/>
        </w:rPr>
        <w:t>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当年度，该领域“数字技术应用场景落地实践项目”与“数字技术应用场景申报对接项目”的累计奖补项目总数不超过15个，两项累计奖补总额不超过150万元。</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0" w:firstLine="640" w:firstLine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数字基础设施领域</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（一）数据标注领域发展支持项目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default" w:ascii="仿宋_GB2312" w:hAnsi="仿宋_GB2312" w:eastAsia="仿宋_GB2312" w:cs="仿宋_GB2312"/>
          <w:b/>
          <w:bCs/>
          <w:sz w:val="32"/>
          <w:szCs w:val="32"/>
          <w:highlight w:val="none"/>
          <w:lang w:val="en-US" w:eastAsia="zh-CN"/>
        </w:rPr>
        <w:t>支持条件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（1）各县（市）区，</w:t>
      </w:r>
      <w:r>
        <w:rPr>
          <w:rFonts w:hint="default" w:ascii="仿宋_GB2312" w:hAnsi="仿宋_GB2312" w:eastAsia="仿宋_GB2312" w:cs="仿宋_GB2312"/>
          <w:sz w:val="32"/>
          <w:szCs w:val="32"/>
          <w:highlight w:val="none"/>
          <w:lang w:val="en-US" w:eastAsia="zh-CN"/>
        </w:rPr>
        <w:t>依法设立的单位</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（2）在数据标注领域获得国家数据标注基地认定、国家优秀（典型）案例称号。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w:t>
      </w:r>
      <w:r>
        <w:rPr>
          <w:rFonts w:hint="default" w:ascii="仿宋_GB2312" w:hAnsi="仿宋_GB2312" w:eastAsia="仿宋_GB2312" w:cs="仿宋_GB2312"/>
          <w:b/>
          <w:bCs/>
          <w:sz w:val="32"/>
          <w:szCs w:val="32"/>
          <w:highlight w:val="none"/>
          <w:lang w:val="en-US" w:eastAsia="zh-CN"/>
        </w:rPr>
        <w:t>奖励标准和方式</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val="en-US" w:eastAsia="zh-CN" w:bidi="ar-SA"/>
        </w:rPr>
        <w:t>获得国家数据标注基地认定的，在省级支持基础上额外给予不超过50万元资金支持；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cs="仿宋_GB2312"/>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val="en-US" w:eastAsia="zh-CN" w:bidi="ar-SA"/>
        </w:rPr>
        <w:t>获得数据标注领域国家优秀（典型）案例的，</w:t>
      </w:r>
      <w:r>
        <w:rPr>
          <w:rFonts w:hint="eastAsia" w:ascii="仿宋_GB2312" w:hAnsi="仿宋_GB2312" w:eastAsia="仿宋_GB2312" w:cs="仿宋_GB2312"/>
          <w:kern w:val="2"/>
          <w:sz w:val="32"/>
          <w:szCs w:val="32"/>
          <w:highlight w:val="none"/>
          <w:shd w:val="clear"/>
          <w:lang w:val="en-US" w:eastAsia="zh-CN" w:bidi="ar-SA"/>
        </w:rPr>
        <w:t>在省级支持基础上额外给予不超过30万元一次性资金支持</w:t>
      </w:r>
      <w:r>
        <w:rPr>
          <w:rFonts w:hint="eastAsia" w:ascii="仿宋_GB2312" w:hAnsi="仿宋_GB2312" w:cs="仿宋_GB2312"/>
          <w:kern w:val="2"/>
          <w:sz w:val="32"/>
          <w:szCs w:val="32"/>
          <w:highlight w:val="none"/>
          <w:shd w:val="clear"/>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2025年、2026年该类项目的累计奖补总额不超过60万元</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（二）行业高质量数据集建设项目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default" w:ascii="仿宋_GB2312" w:hAnsi="仿宋_GB2312" w:eastAsia="仿宋_GB2312" w:cs="仿宋_GB2312"/>
          <w:b/>
          <w:bCs/>
          <w:sz w:val="32"/>
          <w:szCs w:val="32"/>
          <w:highlight w:val="none"/>
          <w:lang w:val="en-US" w:eastAsia="zh-CN"/>
        </w:rPr>
        <w:t>支持条件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（1）依法设立的单位；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（2）在高质量数据集建设领域获得国家先行先试工作试点认定、国家优秀（典型）案例称号。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2.奖励标准和方式</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（1）获得国家先行先试工作试点认定的，</w:t>
      </w:r>
      <w:r>
        <w:rPr>
          <w:rFonts w:hint="eastAsia" w:ascii="仿宋_GB2312" w:hAnsi="仿宋_GB2312" w:eastAsia="仿宋_GB2312" w:cs="仿宋_GB2312"/>
          <w:color w:val="auto"/>
          <w:sz w:val="32"/>
          <w:szCs w:val="32"/>
          <w:highlight w:val="none"/>
          <w:lang w:val="en-US" w:eastAsia="zh-CN"/>
        </w:rPr>
        <w:t>在省级支持基础上额外给予不超过50万元资金支持，</w:t>
      </w:r>
      <w:r>
        <w:rPr>
          <w:rFonts w:hint="eastAsia" w:ascii="仿宋_GB2312" w:hAnsi="仿宋_GB2312" w:eastAsia="仿宋_GB2312" w:cs="仿宋_GB2312"/>
          <w:color w:val="auto"/>
          <w:sz w:val="32"/>
          <w:szCs w:val="32"/>
          <w:highlight w:val="none"/>
        </w:rPr>
        <w:t>每年补贴名额不超过</w:t>
      </w: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个。</w:t>
      </w:r>
      <w:r>
        <w:rPr>
          <w:rFonts w:hint="eastAsia" w:ascii="仿宋_GB2312" w:hAnsi="仿宋_GB2312" w:eastAsia="仿宋_GB2312" w:cs="仿宋_GB2312"/>
          <w:color w:val="auto"/>
          <w:sz w:val="32"/>
          <w:szCs w:val="32"/>
          <w:highlight w:val="none"/>
          <w:lang w:val="en-US" w:eastAsia="zh-CN"/>
        </w:rPr>
        <w:t>2025年、2026年该类项目的累计奖补总额不超过200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val="en-US" w:eastAsia="zh-CN" w:bidi="ar-SA"/>
        </w:rPr>
        <w:t>获得国家优秀（典型）案例称号的，在省级支持基础上额外给予不超过30万元资金支持，</w:t>
      </w:r>
      <w:r>
        <w:rPr>
          <w:rFonts w:hint="eastAsia" w:ascii="仿宋_GB2312" w:hAnsi="仿宋_GB2312" w:eastAsia="仿宋_GB2312" w:cs="仿宋_GB2312"/>
          <w:sz w:val="32"/>
          <w:szCs w:val="32"/>
          <w:highlight w:val="none"/>
          <w:lang w:val="en-US" w:eastAsia="zh-CN"/>
        </w:rPr>
        <w:t>2025年、2026年该类项目的累计奖补总额不超过6</w:t>
      </w:r>
      <w:r>
        <w:rPr>
          <w:rFonts w:hint="default"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val="en-US" w:eastAsia="zh-CN"/>
        </w:rPr>
        <w:t>万元。</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default" w:ascii="黑体" w:hAnsi="黑体" w:eastAsia="黑体" w:cs="黑体"/>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（三）国家数据基础设施试点建设项目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default" w:ascii="仿宋_GB2312" w:hAnsi="仿宋_GB2312" w:eastAsia="仿宋_GB2312" w:cs="仿宋_GB2312"/>
          <w:b/>
          <w:bCs/>
          <w:sz w:val="32"/>
          <w:szCs w:val="32"/>
          <w:highlight w:val="none"/>
          <w:lang w:val="en-US" w:eastAsia="zh-CN"/>
        </w:rPr>
        <w:t>支持条件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（1）依法设立的单位；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（2）在国家数据基础设施领域，获得国家先行先试工作试点认定或获得国家优秀（典型）案例称号。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2.奖励标准和方式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eastAsia="zh-CN"/>
        </w:rPr>
        <w:t>对符合条件的单位</w:t>
      </w:r>
      <w:r>
        <w:rPr>
          <w:rFonts w:hint="eastAsia" w:ascii="仿宋_GB2312" w:hAnsi="仿宋_GB2312" w:eastAsia="仿宋_GB2312" w:cs="仿宋_GB2312"/>
          <w:sz w:val="32"/>
          <w:szCs w:val="32"/>
          <w:highlight w:val="none"/>
        </w:rPr>
        <w:t>，在省级支持基础上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额外给予</w:t>
      </w:r>
      <w:r>
        <w:rPr>
          <w:rFonts w:hint="eastAsia" w:ascii="仿宋_GB2312" w:hAnsi="仿宋_GB2312" w:eastAsia="仿宋_GB2312" w:cs="仿宋_GB2312"/>
          <w:sz w:val="32"/>
          <w:szCs w:val="32"/>
          <w:highlight w:val="none"/>
          <w:lang w:eastAsia="zh-CN"/>
        </w:rPr>
        <w:t>一次性1</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万元资金支持，每年补贴名额不超过</w:t>
      </w:r>
      <w:r>
        <w:rPr>
          <w:rFonts w:hint="default"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个。</w:t>
      </w:r>
      <w:r>
        <w:rPr>
          <w:rFonts w:hint="eastAsia" w:ascii="仿宋_GB2312" w:hAnsi="仿宋_GB2312" w:eastAsia="仿宋_GB2312" w:cs="仿宋_GB2312"/>
          <w:sz w:val="32"/>
          <w:szCs w:val="32"/>
          <w:highlight w:val="none"/>
          <w:lang w:val="en-US" w:eastAsia="zh-CN"/>
        </w:rPr>
        <w:t>2025年、2026年该类项目的累计</w:t>
      </w:r>
      <w:r>
        <w:rPr>
          <w:rFonts w:hint="eastAsia" w:ascii="仿宋_GB2312" w:hAnsi="仿宋_GB2312" w:eastAsia="仿宋_GB2312" w:cs="仿宋_GB2312"/>
          <w:sz w:val="32"/>
          <w:szCs w:val="32"/>
          <w:highlight w:val="none"/>
          <w:lang w:eastAsia="zh-CN"/>
        </w:rPr>
        <w:t>奖补</w:t>
      </w:r>
      <w:r>
        <w:rPr>
          <w:rFonts w:hint="eastAsia" w:ascii="仿宋_GB2312" w:hAnsi="仿宋_GB2312" w:eastAsia="仿宋_GB2312" w:cs="仿宋_GB2312"/>
          <w:sz w:val="32"/>
          <w:szCs w:val="32"/>
          <w:highlight w:val="none"/>
        </w:rPr>
        <w:t>总额不超过</w:t>
      </w: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黑体" w:hAnsi="黑体" w:eastAsia="黑体" w:cs="黑体"/>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（四）国家数据基础设施行业节点建设项目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default" w:ascii="仿宋_GB2312" w:hAnsi="仿宋_GB2312" w:eastAsia="仿宋_GB2312" w:cs="仿宋_GB2312"/>
          <w:b/>
          <w:bCs/>
          <w:sz w:val="32"/>
          <w:szCs w:val="32"/>
          <w:highlight w:val="none"/>
          <w:lang w:val="en-US" w:eastAsia="zh-CN"/>
        </w:rPr>
        <w:t>支持条件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（1）依法设立的单位；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（2）建设福州数据基础设施行业节点项目，节点需要与国家数据基础设施进行对接，并完成“一点发布，全域可见”数据产品数量不少于100个，完成“一点注册，全域可登”数据主体不少于150家。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w:t>
      </w:r>
      <w:r>
        <w:rPr>
          <w:rFonts w:hint="default" w:ascii="仿宋_GB2312" w:hAnsi="仿宋_GB2312" w:eastAsia="仿宋_GB2312" w:cs="仿宋_GB2312"/>
          <w:b/>
          <w:bCs/>
          <w:sz w:val="32"/>
          <w:szCs w:val="32"/>
          <w:highlight w:val="none"/>
          <w:lang w:val="en-US" w:eastAsia="zh-CN"/>
        </w:rPr>
        <w:t>奖励标准和方式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对符合条件的企业给予40万元一次性资金补助，补贴名额不超过8家,</w:t>
      </w:r>
      <w:r>
        <w:rPr>
          <w:rFonts w:hint="eastAsia" w:ascii="仿宋_GB2312" w:hAnsi="仿宋_GB2312" w:eastAsia="仿宋_GB2312" w:cs="仿宋_GB2312"/>
          <w:sz w:val="32"/>
          <w:szCs w:val="32"/>
          <w:highlight w:val="none"/>
        </w:rPr>
        <w:t>补贴总额不超过</w:t>
      </w:r>
      <w:r>
        <w:rPr>
          <w:rFonts w:hint="eastAsia" w:ascii="仿宋_GB2312" w:hAnsi="仿宋_GB2312" w:eastAsia="仿宋_GB2312" w:cs="仿宋_GB2312"/>
          <w:sz w:val="32"/>
          <w:szCs w:val="32"/>
          <w:highlight w:val="none"/>
          <w:lang w:val="en-US" w:eastAsia="zh-CN"/>
        </w:rPr>
        <w:t>320</w:t>
      </w:r>
      <w:r>
        <w:rPr>
          <w:rFonts w:hint="eastAsia" w:ascii="仿宋_GB2312" w:hAnsi="仿宋_GB2312" w:eastAsia="仿宋_GB2312" w:cs="仿宋_GB2312"/>
          <w:sz w:val="32"/>
          <w:szCs w:val="32"/>
          <w:highlight w:val="none"/>
        </w:rPr>
        <w:t>万元。</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3" w:firstLineChars="200"/>
        <w:textAlignment w:val="auto"/>
        <w:rPr>
          <w:rFonts w:hint="default" w:ascii="黑体" w:hAnsi="黑体" w:eastAsia="黑体" w:cs="黑体"/>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（五）数据流通利用标准化研究项目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default" w:ascii="仿宋_GB2312" w:hAnsi="仿宋_GB2312" w:eastAsia="仿宋_GB2312" w:cs="仿宋_GB2312"/>
          <w:b/>
          <w:bCs/>
          <w:sz w:val="32"/>
          <w:szCs w:val="32"/>
          <w:highlight w:val="none"/>
          <w:lang w:val="en-US" w:eastAsia="zh-CN"/>
        </w:rPr>
        <w:t>支持条件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（1）科研院所、标准化技术委员会等单位；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（2）牵头研制数据流通领域的国家、地方或行业标准，并完成正式发布。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w:t>
      </w:r>
      <w:r>
        <w:rPr>
          <w:rFonts w:hint="default" w:ascii="仿宋_GB2312" w:hAnsi="仿宋_GB2312" w:eastAsia="仿宋_GB2312" w:cs="仿宋_GB2312"/>
          <w:b/>
          <w:bCs/>
          <w:sz w:val="32"/>
          <w:szCs w:val="32"/>
          <w:highlight w:val="none"/>
          <w:lang w:val="en-US" w:eastAsia="zh-CN"/>
        </w:rPr>
        <w:t>奖励标准和方式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对符合条件的单位按每项标准给予</w:t>
      </w:r>
      <w:r>
        <w:rPr>
          <w:rFonts w:hint="eastAsia" w:ascii="仿宋_GB2312" w:hAnsi="仿宋_GB2312" w:eastAsia="仿宋_GB2312" w:cs="仿宋_GB2312"/>
          <w:sz w:val="32"/>
          <w:szCs w:val="32"/>
          <w:highlight w:val="none"/>
          <w:lang w:eastAsia="zh-CN"/>
        </w:rPr>
        <w:t>一次性</w:t>
      </w:r>
      <w:r>
        <w:rPr>
          <w:rFonts w:hint="eastAsia" w:ascii="仿宋_GB2312" w:hAnsi="仿宋_GB2312" w:eastAsia="仿宋_GB2312" w:cs="仿宋_GB2312"/>
          <w:sz w:val="32"/>
          <w:szCs w:val="32"/>
          <w:highlight w:val="none"/>
        </w:rPr>
        <w:t>15万元奖励，</w:t>
      </w:r>
      <w:r>
        <w:rPr>
          <w:rFonts w:hint="eastAsia" w:ascii="仿宋_GB2312" w:hAnsi="仿宋_GB2312" w:eastAsia="仿宋_GB2312" w:cs="仿宋_GB2312"/>
          <w:sz w:val="32"/>
          <w:szCs w:val="32"/>
          <w:highlight w:val="none"/>
          <w:lang w:eastAsia="zh-CN"/>
        </w:rPr>
        <w:t>每年补贴名额不超过</w:t>
      </w:r>
      <w:r>
        <w:rPr>
          <w:rFonts w:hint="eastAsia" w:ascii="仿宋_GB2312" w:hAnsi="仿宋_GB2312" w:eastAsia="仿宋_GB2312" w:cs="仿宋_GB2312"/>
          <w:sz w:val="32"/>
          <w:szCs w:val="32"/>
          <w:highlight w:val="none"/>
          <w:lang w:val="en-US" w:eastAsia="zh-CN"/>
        </w:rPr>
        <w:t>2个，</w:t>
      </w:r>
      <w:r>
        <w:rPr>
          <w:rFonts w:hint="eastAsia" w:ascii="仿宋_GB2312" w:hAnsi="仿宋_GB2312" w:eastAsia="仿宋_GB2312" w:cs="仿宋_GB2312"/>
          <w:sz w:val="32"/>
          <w:szCs w:val="32"/>
          <w:highlight w:val="none"/>
        </w:rPr>
        <w:t>补贴总额不超过30万元。</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（六）人工智能算力普惠应用补助项目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default" w:ascii="仿宋_GB2312" w:hAnsi="仿宋_GB2312" w:eastAsia="仿宋_GB2312" w:cs="仿宋_GB2312"/>
          <w:b/>
          <w:bCs/>
          <w:sz w:val="32"/>
          <w:szCs w:val="32"/>
          <w:highlight w:val="none"/>
          <w:lang w:val="en-US" w:eastAsia="zh-CN"/>
        </w:rPr>
        <w:t>支持条件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（1）购买算力服务的福州企业，且经营状态正常，信用状况良好，未被相关部门列为严重失信主体名单；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（2）年度购买总额在5万元（含）至10万元（不含）之间、年度购买总额达10万元（含）以上。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w:t>
      </w:r>
      <w:r>
        <w:rPr>
          <w:rFonts w:hint="default" w:ascii="仿宋_GB2312" w:hAnsi="仿宋_GB2312" w:eastAsia="仿宋_GB2312" w:cs="仿宋_GB2312"/>
          <w:b/>
          <w:bCs/>
          <w:sz w:val="32"/>
          <w:szCs w:val="32"/>
          <w:highlight w:val="none"/>
          <w:lang w:val="en-US" w:eastAsia="zh-CN"/>
        </w:rPr>
        <w:t>奖励标准和方式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1.采用“免申即享”方式，</w:t>
      </w:r>
      <w:r>
        <w:rPr>
          <w:rFonts w:hint="default" w:ascii="仿宋_GB2312" w:hAnsi="仿宋_GB2312" w:eastAsia="仿宋_GB2312" w:cs="仿宋_GB2312"/>
          <w:sz w:val="32"/>
          <w:szCs w:val="32"/>
          <w:highlight w:val="none"/>
          <w:lang w:val="en-US" w:eastAsia="zh-CN"/>
        </w:rPr>
        <w:t>年度购买算力服务总额5万元（含）-10万元（不含）的</w:t>
      </w:r>
      <w:r>
        <w:rPr>
          <w:rFonts w:hint="default" w:ascii="仿宋_GB2312" w:hAnsi="仿宋_GB2312" w:eastAsia="仿宋_GB2312" w:cs="仿宋_GB2312"/>
          <w:color w:val="auto"/>
          <w:sz w:val="32"/>
          <w:szCs w:val="32"/>
          <w:highlight w:val="none"/>
          <w:lang w:val="en-US" w:eastAsia="zh-CN"/>
        </w:rPr>
        <w:t>，按照当年实际购买服务费用50%的比例给予补助。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2.采用“免申即享”方式，</w:t>
      </w:r>
      <w:r>
        <w:rPr>
          <w:rFonts w:hint="default" w:ascii="仿宋_GB2312" w:hAnsi="仿宋_GB2312" w:eastAsia="仿宋_GB2312" w:cs="仿宋_GB2312"/>
          <w:sz w:val="32"/>
          <w:szCs w:val="32"/>
          <w:highlight w:val="none"/>
          <w:lang w:val="en-US" w:eastAsia="zh-CN"/>
        </w:rPr>
        <w:t>年度购买算力服务总额达10万元（含）以上的，支持申请省级相关补助。</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1.完成公示后，当年度相关资金由福州市数据管理局拨付至项目业主。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2.若同一项目满足一个领域内多项支持条件，以就高原则享受该领域一项专项资金支持；若满足不同领域支持条件的，可叠加享受专项资金支持。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3.依法设立的单位，指经营状态正常、信用状况良好、未被相关部门列为严重失信主体名单的单位。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4.该奖补政策从公布之日起实行，有效期2年。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（1）数据要素领域：83362590；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pacing w:val="0"/>
          <w:sz w:val="32"/>
          <w:szCs w:val="32"/>
          <w:highlight w:val="none"/>
          <w:lang w:val="en-US" w:eastAsia="zh-CN"/>
        </w:rPr>
        <w:t>数字经济领域</w:t>
      </w:r>
      <w:r>
        <w:rPr>
          <w:rFonts w:hint="eastAsia" w:ascii="仿宋_GB2312" w:hAnsi="仿宋_GB2312" w:eastAsia="仿宋_GB2312" w:cs="仿宋_GB2312"/>
          <w:sz w:val="32"/>
          <w:szCs w:val="32"/>
          <w:highlight w:val="none"/>
          <w:lang w:val="en-US" w:eastAsia="zh-CN"/>
        </w:rPr>
        <w:t>：83363500；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pacing w:val="0"/>
          <w:sz w:val="32"/>
          <w:szCs w:val="32"/>
          <w:highlight w:val="none"/>
          <w:lang w:val="en-US" w:eastAsia="zh-CN"/>
        </w:rPr>
        <w:t>数字技术应用领域</w:t>
      </w:r>
      <w:r>
        <w:rPr>
          <w:rFonts w:hint="eastAsia" w:ascii="仿宋_GB2312" w:hAnsi="仿宋_GB2312" w:eastAsia="仿宋_GB2312" w:cs="仿宋_GB2312"/>
          <w:sz w:val="32"/>
          <w:szCs w:val="32"/>
          <w:highlight w:val="none"/>
          <w:lang w:val="en-US" w:eastAsia="zh-CN"/>
        </w:rPr>
        <w:t>：83892583；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（4）数字基础设施领域：88037873,其中第（六）点“</w:t>
      </w:r>
      <w:r>
        <w:rPr>
          <w:rFonts w:hint="eastAsia" w:ascii="仿宋_GB2312" w:hAnsi="仿宋_GB2312" w:eastAsia="仿宋_GB2312" w:cs="仿宋_GB2312"/>
          <w:b w:val="0"/>
          <w:bCs w:val="0"/>
          <w:sz w:val="32"/>
          <w:szCs w:val="32"/>
          <w:highlight w:val="none"/>
          <w:lang w:val="en-US" w:eastAsia="zh-CN"/>
        </w:rPr>
        <w:t>人工智能算力普惠应用补助项目</w:t>
      </w:r>
      <w:r>
        <w:rPr>
          <w:rFonts w:hint="eastAsia" w:ascii="仿宋_GB2312" w:hAnsi="仿宋_GB2312" w:eastAsia="仿宋_GB2312" w:cs="仿宋_GB2312"/>
          <w:sz w:val="32"/>
          <w:szCs w:val="32"/>
          <w:highlight w:val="none"/>
          <w:lang w:val="en-US" w:eastAsia="zh-CN"/>
        </w:rPr>
        <w:t>”联系电话83051293。</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Calibri" w:hAnsi="Calibri" w:eastAsia="宋体" w:cs="Times New Roman"/>
          <w:kern w:val="2"/>
          <w:sz w:val="21"/>
          <w:szCs w:val="24"/>
          <w:lang w:val="en-US" w:eastAsia="zh-CN" w:bidi="ar-SA"/>
        </w:rPr>
      </w:pPr>
    </w:p>
    <w:p>
      <w:pPr>
        <w:keepNext w:val="0"/>
        <w:keepLines w:val="0"/>
        <w:pageBreakBefore w:val="0"/>
        <w:widowControl/>
        <w:tabs>
          <w:tab w:val="left" w:pos="4674"/>
        </w:tabs>
        <w:kinsoku/>
        <w:wordWrap/>
        <w:overflowPunct/>
        <w:topLinePunct w:val="0"/>
        <w:autoSpaceDE/>
        <w:autoSpaceDN/>
        <w:bidi w:val="0"/>
        <w:adjustRightInd/>
        <w:snapToGrid/>
        <w:spacing w:line="240" w:lineRule="auto"/>
        <w:ind w:firstLine="0" w:firstLineChars="0"/>
        <w:jc w:val="left"/>
        <w:textAlignment w:val="auto"/>
        <w:rPr>
          <w:rFonts w:hint="default"/>
          <w:lang w:val="en-US" w:eastAsia="zh-CN"/>
        </w:rPr>
      </w:pPr>
      <w:r>
        <w:rPr>
          <w:rFonts w:hint="eastAsia"/>
          <w:lang w:val="en-US" w:eastAsia="zh-CN"/>
        </w:rPr>
        <w:tab/>
      </w:r>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1623240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tbuXfQAAAAAgEAAA8AAAAAAAAAAQAgAAAAIgAA&#10;AGRycy9kb3ducmV2LnhtbFBLAQIUABQAAAAIAIdO4kD0S/n7EAIAAAkEAAAOAAAAAAAAAAEAIAAA&#10;AB8BAABkcnMvZTJvRG9jLnhtbFBLBQYAAAAABgAGAFkBAACh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C5E19"/>
    <w:multiLevelType w:val="singleLevel"/>
    <w:tmpl w:val="FBEC5E19"/>
    <w:lvl w:ilvl="0" w:tentative="0">
      <w:start w:val="1"/>
      <w:numFmt w:val="chineseCounting"/>
      <w:suff w:val="nothing"/>
      <w:lvlText w:val="%1、"/>
      <w:lvlJc w:val="left"/>
      <w:rPr>
        <w:rFonts w:hint="eastAsia"/>
      </w:rPr>
    </w:lvl>
  </w:abstractNum>
  <w:abstractNum w:abstractNumId="1">
    <w:nsid w:val="FEFFAFCA"/>
    <w:multiLevelType w:val="singleLevel"/>
    <w:tmpl w:val="FEFFAFCA"/>
    <w:lvl w:ilvl="0" w:tentative="0">
      <w:start w:val="4"/>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4B1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line="600" w:lineRule="exact"/>
      <w:ind w:firstLine="640" w:firstLineChars="200"/>
    </w:pPr>
    <w:rPr>
      <w:rFonts w:eastAsia="仿宋_GB231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2025-12-31T12:18:15Z</dcterms:created>
  <dc:creator>l</dc:creator>
  <cp:lastModifiedBy>l</cp:lastModifiedBy>
  <dcterms:modified xsi:type="dcterms:W3CDTF">2025-12-31T12:18:22Z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D5B25EDE42C94165B6DFCBF175D3E0D1</vt:lpwstr>
  </property>
</Properties>
</file>